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80"/>
      </w:pPr>
      <w:r>
        <w:rPr>
          <w:rFonts w:ascii="Arial" w:cs="Arial" w:eastAsia="Arial" w:hAnsi="Arial"/>
          <w:b/>
          <w:bCs/>
          <w:caps/>
          <w:color w:val="2A7F8E"/>
          <w:sz w:val="22"/>
          <w:szCs w:val="22"/>
        </w:rPr>
        <w:t xml:space="preserve">AI LITERACY NETWORK</w:t>
      </w:r>
    </w:p>
    <w:p>
      <w:pPr>
        <w:pBdr>
          <w:bottom w:val="single" w:color="2A7F8E" w:sz="6" w:space="1"/>
        </w:pBdr>
        <w:spacing w:after="40"/>
      </w:pPr>
    </w:p>
    <w:p>
      <w:pPr>
        <w:spacing w:after="200"/>
      </w:pPr>
    </w:p>
    <w:p>
      <w:pPr>
        <w:spacing w:after="160"/>
      </w:pPr>
      <w:r>
        <w:rPr>
          <w:rFonts w:ascii="Georgia" w:cs="Georgia" w:eastAsia="Georgia" w:hAnsi="Georgia"/>
          <w:b/>
          <w:bCs/>
          <w:color w:val="1B3A5C"/>
          <w:sz w:val="52"/>
          <w:szCs w:val="52"/>
        </w:rPr>
        <w:t xml:space="preserve">AI Readiness for School Leaders</w:t>
      </w:r>
    </w:p>
    <w:p>
      <w:pPr>
        <w:spacing w:after="400"/>
      </w:pPr>
      <w:r>
        <w:rPr>
          <w:rFonts w:ascii="Georgia" w:cs="Georgia" w:eastAsia="Georgia" w:hAnsi="Georgia"/>
          <w:color w:val="2A7F8E"/>
          <w:sz w:val="28"/>
          <w:szCs w:val="28"/>
        </w:rPr>
        <w:t xml:space="preserve">A Practical 90-Day Operating Plan for School and District Teams</w:t>
      </w:r>
    </w:p>
    <w:p>
      <w:pPr>
        <w:spacing w:after="600"/>
      </w:pPr>
    </w:p>
    <w:p>
      <w:pPr>
        <w:spacing w:after="100"/>
      </w:pPr>
      <w:r>
        <w:rPr>
          <w:rFonts w:ascii="Arial" w:cs="Arial" w:eastAsia="Arial" w:hAnsi="Arial"/>
          <w:color w:val="1E1E1E"/>
          <w:sz w:val="21"/>
          <w:szCs w:val="21"/>
        </w:rPr>
        <w:t xml:space="preserve">A Flagship White Paper for School and District Leaders</w:t>
      </w:r>
    </w:p>
    <w:p>
      <w:pPr>
        <w:spacing w:after="100"/>
      </w:pPr>
      <w:r>
        <w:rPr>
          <w:rFonts w:ascii="Arial" w:cs="Arial" w:eastAsia="Arial" w:hAnsi="Arial"/>
          <w:color w:val="666666"/>
          <w:sz w:val="20"/>
          <w:szCs w:val="20"/>
        </w:rPr>
        <w:t xml:space="preserve">Published by AI Literacy Network  |  2026</w:t>
      </w:r>
    </w:p>
    <w:p>
      <w:pPr>
        <w:spacing w:after="100"/>
      </w:pPr>
      <w:r>
        <w:rPr>
          <w:rFonts w:ascii="Arial" w:cs="Arial" w:eastAsia="Arial" w:hAnsi="Arial"/>
          <w:color w:val="2A7F8E"/>
          <w:sz w:val="20"/>
          <w:szCs w:val="20"/>
        </w:rPr>
        <w:t xml:space="preserve">ailiteracynetwork.com</w:t>
      </w:r>
    </w:p>
    <w:p>
      <w:pPr>
        <w:sectPr>
          <w:pgSz w:w="12240" w:h="15840" w:orient="portrait"/>
          <w:pgMar w:top="1440" w:right="1440" w:bottom="1440" w:left="1440" w:header="708" w:footer="708" w:gutter="0"/>
          <w:pgNumType/>
          <w:docGrid w:linePitch="360"/>
        </w:sectPr>
      </w:pPr>
    </w:p>
    <w:p>
      <w:pPr>
        <w:pStyle w:val="Heading1"/>
        <w:spacing w:before="360" w:after="200"/>
      </w:pPr>
      <w:r>
        <w:rPr>
          <w:rFonts w:ascii="Georgia" w:cs="Georgia" w:eastAsia="Georgia" w:hAnsi="Georgia"/>
          <w:b/>
          <w:bCs/>
          <w:color w:val="1B3A5C"/>
          <w:sz w:val="32"/>
          <w:szCs w:val="32"/>
        </w:rPr>
        <w:t xml:space="preserve">Executive Summary</w:t>
      </w:r>
    </w:p>
    <w:p>
      <w:pPr>
        <w:spacing w:after="180" w:line="300"/>
      </w:pPr>
      <w:r>
        <w:rPr>
          <w:rFonts w:ascii="Arial" w:cs="Arial" w:eastAsia="Arial" w:hAnsi="Arial"/>
          <w:color w:val="1E1E1E"/>
          <w:sz w:val="21"/>
          <w:szCs w:val="21"/>
        </w:rPr>
        <w:t xml:space="preserve">Artificial intelligence is no longer a future consideration for schools. It is an operating reality. Students and staff are already using AI-based tools, whether or not their schools have policies in place. Vendors are embedding AI features into existing platforms. Boards and families are asking questions that many leadership teams cannot yet answer clearly.</w:t>
      </w:r>
    </w:p>
    <w:p>
      <w:pPr>
        <w:spacing w:after="180" w:line="300"/>
      </w:pPr>
      <w:r>
        <w:rPr>
          <w:rFonts w:ascii="Arial" w:cs="Arial" w:eastAsia="Arial" w:hAnsi="Arial"/>
          <w:color w:val="1E1E1E"/>
          <w:sz w:val="21"/>
          <w:szCs w:val="21"/>
        </w:rPr>
        <w:t xml:space="preserve">This white paper is designed for superintendents, principals, cabinet members, and district operations leaders who want to move from uncertainty to a practical starting position. It does not require a large initiative or a finished strategy. Instead, it offers a 90-day operating plan built around five priorities: establishing clear ownership, identifying visible use cases, setting basic guardrails, building communication discipline, and making a short sequence of decisions that reduce risk and build institutional confidence.</w:t>
      </w:r>
    </w:p>
    <w:p>
      <w:pPr>
        <w:spacing w:after="180" w:line="300"/>
      </w:pPr>
      <w:r>
        <w:rPr>
          <w:rFonts w:ascii="Arial" w:cs="Arial" w:eastAsia="Arial" w:hAnsi="Arial"/>
          <w:color w:val="1E1E1E"/>
          <w:sz w:val="21"/>
          <w:szCs w:val="21"/>
        </w:rPr>
        <w:t xml:space="preserve">The plan is informed by current federal and state guidance, national research from organizations including RAND, the Center on Reinventing Public Education (CRPE), and the State Educational Technology Directors Association (SETDA), as well as emerging frameworks from UNESCO and the U.S. Department of Education. It is designed to be useful regardless of district size, budget, or prior AI experience.</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7F8E" w:sz="1"/>
              <w:left w:val="single" w:color="2A7F8E" w:sz="8"/>
              <w:bottom w:val="single" w:color="2A7F8E" w:sz="1"/>
              <w:right w:val="single" w:color="2A7F8E" w:sz="1"/>
            </w:tcBorders>
            <w:shd w:fill="EAF4F6" w:val="clear"/>
            <w:tcMar>
              <w:top w:type="dxa" w:w="140"/>
              <w:left w:type="dxa" w:w="200"/>
              <w:bottom w:type="dxa" w:w="140"/>
              <w:right w:type="dxa" w:w="200"/>
            </w:tcMar>
          </w:tcPr>
          <w:p>
            <w:pPr>
              <w:spacing w:after="80"/>
            </w:pPr>
            <w:r>
              <w:rPr>
                <w:rFonts w:ascii="Georgia" w:cs="Georgia" w:eastAsia="Georgia" w:hAnsi="Georgia"/>
                <w:b/>
                <w:bCs/>
                <w:color w:val="2A7F8E"/>
                <w:sz w:val="22"/>
                <w:szCs w:val="22"/>
              </w:rPr>
              <w:t xml:space="preserve">Core Thesis</w:t>
            </w:r>
          </w:p>
          <w:p>
            <w:pPr>
              <w:spacing w:after="0" w:line="280"/>
            </w:pPr>
            <w:r>
              <w:rPr>
                <w:rFonts w:ascii="Arial" w:cs="Arial" w:eastAsia="Arial" w:hAnsi="Arial"/>
                <w:color w:val="1E1E1E"/>
                <w:sz w:val="20"/>
                <w:szCs w:val="20"/>
              </w:rPr>
              <w:t xml:space="preserve">School and district leaders do not need a grand AI strategy first. They need a practical operating model: clear ownership, visible use cases, basic guardrails, communication discipline, and a short sequence of decisions that can be made in the next 90 days.</w:t>
            </w:r>
          </w:p>
        </w:tc>
      </w:tr>
    </w:tbl>
    <w:p>
      <w:pPr>
        <w:spacing w:after="120"/>
      </w:pPr>
    </w:p>
    <w:p>
      <w:pPr>
        <w:pStyle w:val="Heading1"/>
        <w:spacing w:before="360" w:after="200"/>
      </w:pPr>
      <w:r>
        <w:rPr>
          <w:rFonts w:ascii="Georgia" w:cs="Georgia" w:eastAsia="Georgia" w:hAnsi="Georgia"/>
          <w:b/>
          <w:bCs/>
          <w:color w:val="1B3A5C"/>
          <w:sz w:val="32"/>
          <w:szCs w:val="32"/>
        </w:rPr>
        <w:t xml:space="preserve">Why This Matters Now</w:t>
      </w:r>
    </w:p>
    <w:p>
      <w:pPr>
        <w:spacing w:after="180" w:line="300"/>
      </w:pPr>
      <w:r>
        <w:rPr>
          <w:rFonts w:ascii="Arial" w:cs="Arial" w:eastAsia="Arial" w:hAnsi="Arial"/>
          <w:color w:val="1E1E1E"/>
          <w:sz w:val="21"/>
          <w:szCs w:val="21"/>
        </w:rPr>
        <w:t xml:space="preserve">AI readiness is now an operating issue, not just a technology trend. Three converging pressures make this urgent for school and district leaders in 2025–2026:</w:t>
      </w:r>
    </w:p>
    <w:p>
      <w:pPr>
        <w:spacing w:after="180" w:line="300"/>
      </w:pPr>
      <w:r>
        <w:rPr>
          <w:rFonts w:ascii="Arial" w:cs="Arial" w:eastAsia="Arial" w:hAnsi="Arial"/>
          <w:b/>
          <w:bCs/>
          <w:color w:val="1E1E1E"/>
          <w:sz w:val="21"/>
          <w:szCs w:val="21"/>
        </w:rPr>
        <w:t xml:space="preserve">The policy environment is moving quickly. </w:t>
      </w:r>
      <w:r>
        <w:rPr>
          <w:rFonts w:ascii="Arial" w:cs="Arial" w:eastAsia="Arial" w:hAnsi="Arial"/>
          <w:color w:val="1E1E1E"/>
          <w:sz w:val="21"/>
          <w:szCs w:val="21"/>
        </w:rPr>
        <w:t xml:space="preserve">In July 2025, the U.S. Department of Education issued a Dear Colleague Letter affirming that federal formula and discretionary grant funds may be used to support the responsible integration of AI in education [1]. At the state level, SETDA’s 2025 State EdTech Trends Report found that AI surpassed cybersecurity as the top state edtech priority for the first time, with states moving rapidly to develop guidance, professional development, and procurement frameworks [2]. As of early 2026, 33 states have issued official AI guidance for schools [3].</w:t>
      </w:r>
    </w:p>
    <w:p>
      <w:pPr>
        <w:spacing w:after="180" w:line="300"/>
      </w:pPr>
      <w:r>
        <w:rPr>
          <w:rFonts w:ascii="Arial" w:cs="Arial" w:eastAsia="Arial" w:hAnsi="Arial"/>
          <w:b/>
          <w:bCs/>
          <w:color w:val="1E1E1E"/>
          <w:sz w:val="21"/>
          <w:szCs w:val="21"/>
        </w:rPr>
        <w:t xml:space="preserve">The adoption gap is widening. </w:t>
      </w:r>
      <w:r>
        <w:rPr>
          <w:rFonts w:ascii="Arial" w:cs="Arial" w:eastAsia="Arial" w:hAnsi="Arial"/>
          <w:color w:val="1E1E1E"/>
          <w:sz w:val="21"/>
          <w:szCs w:val="21"/>
        </w:rPr>
        <w:t xml:space="preserve">According to RAND’s nationally representative survey of educators, roughly one in four teachers reported using AI tools for instructional planning or teaching during the 2023–24 school year, and nearly 60% of principals reported using AI tools for their work [4]. However, only 18% of principals reported that their schools or districts had provided any formal guidance on AI use [4]. A separate RAND study found that by fall 2024, approximately half of districts had provided some teacher training on AI—double the proportion from the year before—but higher-poverty districts continued to lag behind [5].</w:t>
      </w:r>
    </w:p>
    <w:p>
      <w:pPr>
        <w:spacing w:after="180" w:line="300"/>
      </w:pPr>
      <w:r>
        <w:rPr>
          <w:rFonts w:ascii="Arial" w:cs="Arial" w:eastAsia="Arial" w:hAnsi="Arial"/>
          <w:b/>
          <w:bCs/>
          <w:color w:val="1E1E1E"/>
          <w:sz w:val="21"/>
          <w:szCs w:val="21"/>
        </w:rPr>
        <w:t xml:space="preserve">Legal and compliance expectations are tightening. </w:t>
      </w:r>
      <w:r>
        <w:rPr>
          <w:rFonts w:ascii="Arial" w:cs="Arial" w:eastAsia="Arial" w:hAnsi="Arial"/>
          <w:color w:val="1E1E1E"/>
          <w:sz w:val="21"/>
          <w:szCs w:val="21"/>
        </w:rPr>
        <w:t xml:space="preserve">FERPA, COPPA, and state student privacy laws all apply to AI tools used in schools. The FTC finalized amendments to the COPPA rule in January 2025, with full compliance required by April 2026 [6]. The TAKE IT DOWN Act, signed into law in May 2025, creates new school responsibilities around AI-generated deepfake imagery [7]. Districts that have not reviewed their vendor agreements and data practices in light of these developments face growing exposure.</w:t>
      </w:r>
    </w:p>
    <w:p>
      <w:pPr>
        <w:spacing w:after="180" w:line="300"/>
      </w:pPr>
      <w:r>
        <w:rPr>
          <w:rFonts w:ascii="Arial" w:cs="Arial" w:eastAsia="Arial" w:hAnsi="Arial"/>
          <w:color w:val="1E1E1E"/>
          <w:sz w:val="21"/>
          <w:szCs w:val="21"/>
        </w:rPr>
        <w:t xml:space="preserve">None of these developments require panic. But they do require attention. The districts that act now—even modestly—will be in a materially stronger position than those that wait for a crisis to force the conversation.</w:t>
      </w:r>
    </w:p>
    <w:p>
      <w:pPr>
        <w:spacing w:after="80"/>
      </w:pPr>
    </w:p>
    <w:p>
      <w:pPr>
        <w:pStyle w:val="Heading1"/>
        <w:spacing w:before="360" w:after="200"/>
      </w:pPr>
      <w:r>
        <w:rPr>
          <w:rFonts w:ascii="Georgia" w:cs="Georgia" w:eastAsia="Georgia" w:hAnsi="Georgia"/>
          <w:b/>
          <w:bCs/>
          <w:color w:val="1B3A5C"/>
          <w:sz w:val="32"/>
          <w:szCs w:val="32"/>
        </w:rPr>
        <w:t xml:space="preserve">Where AI Is Already Showing Up in School Systems</w:t>
      </w:r>
    </w:p>
    <w:p>
      <w:pPr>
        <w:spacing w:after="180" w:line="300"/>
      </w:pPr>
      <w:r>
        <w:rPr>
          <w:rFonts w:ascii="Arial" w:cs="Arial" w:eastAsia="Arial" w:hAnsi="Arial"/>
          <w:color w:val="1E1E1E"/>
          <w:sz w:val="21"/>
          <w:szCs w:val="21"/>
        </w:rPr>
        <w:t xml:space="preserve">AI is not arriving in schools through a single initiative. It is showing up in layers, often without formal approval or oversight:</w:t>
      </w:r>
    </w:p>
    <w:p>
      <w:pPr>
        <w:pStyle w:val="ListParagraph"/>
        <w:numPr>
          <w:ilvl w:val="0"/>
          <w:numId w:val="2"/>
        </w:numPr>
        <w:spacing w:after="100" w:line="280"/>
      </w:pPr>
      <w:r>
        <w:rPr>
          <w:rFonts w:ascii="Arial" w:cs="Arial" w:eastAsia="Arial" w:hAnsi="Arial"/>
          <w:color w:val="1E1E1E"/>
          <w:sz w:val="21"/>
          <w:szCs w:val="21"/>
        </w:rPr>
        <w:t xml:space="preserve">Instructional tools: Teachers are using AI for lesson planning, differentiation, writing feedback, and assessment creation. RAND found that ELA and science teachers were nearly twice as likely as math or general elementary teachers to report using AI tools [4].</w:t>
      </w:r>
    </w:p>
    <w:p>
      <w:pPr>
        <w:pStyle w:val="ListParagraph"/>
        <w:numPr>
          <w:ilvl w:val="0"/>
          <w:numId w:val="2"/>
        </w:numPr>
        <w:spacing w:after="100" w:line="280"/>
      </w:pPr>
      <w:r>
        <w:rPr>
          <w:rFonts w:ascii="Arial" w:cs="Arial" w:eastAsia="Arial" w:hAnsi="Arial"/>
          <w:color w:val="1E1E1E"/>
          <w:sz w:val="21"/>
          <w:szCs w:val="21"/>
        </w:rPr>
        <w:t xml:space="preserve">Student use: Students are using publicly available AI tools for research, writing, homework support, and creative projects—in many cases without school-provided guidance or guardrails.</w:t>
      </w:r>
    </w:p>
    <w:p>
      <w:pPr>
        <w:pStyle w:val="ListParagraph"/>
        <w:numPr>
          <w:ilvl w:val="0"/>
          <w:numId w:val="2"/>
        </w:numPr>
        <w:spacing w:after="100" w:line="280"/>
      </w:pPr>
      <w:r>
        <w:rPr>
          <w:rFonts w:ascii="Arial" w:cs="Arial" w:eastAsia="Arial" w:hAnsi="Arial"/>
          <w:color w:val="1E1E1E"/>
          <w:sz w:val="21"/>
          <w:szCs w:val="21"/>
        </w:rPr>
        <w:t xml:space="preserve">Administrative platforms: AI features are being embedded into existing systems including student information systems, learning management systems, and communication platforms. The December 2024 PowerSchool breach, which compromised student data across numerous districts, highlighted how deeply these systems are integrated [8].</w:t>
      </w:r>
    </w:p>
    <w:p>
      <w:pPr>
        <w:pStyle w:val="ListParagraph"/>
        <w:numPr>
          <w:ilvl w:val="0"/>
          <w:numId w:val="2"/>
        </w:numPr>
        <w:spacing w:after="100" w:line="280"/>
      </w:pPr>
      <w:r>
        <w:rPr>
          <w:rFonts w:ascii="Arial" w:cs="Arial" w:eastAsia="Arial" w:hAnsi="Arial"/>
          <w:color w:val="1E1E1E"/>
          <w:sz w:val="21"/>
          <w:szCs w:val="21"/>
        </w:rPr>
        <w:t xml:space="preserve">Vendor products: EdTech companies are adding AI capabilities to products already in use. Districts may be running AI-powered features without having reviewed or approved them.</w:t>
      </w:r>
    </w:p>
    <w:p>
      <w:pPr>
        <w:pStyle w:val="ListParagraph"/>
        <w:numPr>
          <w:ilvl w:val="0"/>
          <w:numId w:val="2"/>
        </w:numPr>
        <w:spacing w:after="100" w:line="280"/>
      </w:pPr>
      <w:r>
        <w:rPr>
          <w:rFonts w:ascii="Arial" w:cs="Arial" w:eastAsia="Arial" w:hAnsi="Arial"/>
          <w:color w:val="1E1E1E"/>
          <w:sz w:val="21"/>
          <w:szCs w:val="21"/>
        </w:rPr>
        <w:t xml:space="preserve">Communications and HR: Some districts are beginning to explore AI for drafting communications, managing substitute teacher placement, and streamlining administrative workflows.</w:t>
      </w:r>
    </w:p>
    <w:p>
      <w:pPr>
        <w:spacing w:after="60"/>
      </w:pPr>
    </w:p>
    <w:p>
      <w:pPr>
        <w:spacing w:after="180" w:line="300"/>
      </w:pPr>
      <w:r>
        <w:rPr>
          <w:rFonts w:ascii="Arial" w:cs="Arial" w:eastAsia="Arial" w:hAnsi="Arial"/>
          <w:color w:val="1E1E1E"/>
          <w:sz w:val="21"/>
          <w:szCs w:val="21"/>
        </w:rPr>
        <w:t xml:space="preserve">The practical implication is straightforward: AI is not something schools will need to decide about in the future. It is something they need to manage now.</w:t>
      </w:r>
    </w:p>
    <w:p>
      <w:pPr>
        <w:spacing w:after="80"/>
      </w:pPr>
    </w:p>
    <w:p>
      <w:pPr>
        <w:pStyle w:val="Heading1"/>
        <w:spacing w:before="360" w:after="200"/>
      </w:pPr>
      <w:r>
        <w:rPr>
          <w:rFonts w:ascii="Georgia" w:cs="Georgia" w:eastAsia="Georgia" w:hAnsi="Georgia"/>
          <w:b/>
          <w:bCs/>
          <w:color w:val="1B3A5C"/>
          <w:sz w:val="32"/>
          <w:szCs w:val="32"/>
        </w:rPr>
        <w:t xml:space="preserve">The Main Risks Leaders Are Underestimating</w:t>
      </w:r>
    </w:p>
    <w:p>
      <w:pPr>
        <w:pStyle w:val="Heading2"/>
        <w:spacing w:before="280" w:after="160"/>
      </w:pPr>
      <w:r>
        <w:rPr>
          <w:rFonts w:ascii="Georgia" w:cs="Georgia" w:eastAsia="Georgia" w:hAnsi="Georgia"/>
          <w:b/>
          <w:bCs/>
          <w:color w:val="2A7F8E"/>
          <w:sz w:val="26"/>
          <w:szCs w:val="26"/>
        </w:rPr>
        <w:t xml:space="preserve">Urgent Issues</w:t>
      </w:r>
    </w:p>
    <w:p>
      <w:pPr>
        <w:spacing w:after="180" w:line="300"/>
      </w:pPr>
      <w:r>
        <w:rPr>
          <w:rFonts w:ascii="Arial" w:cs="Arial" w:eastAsia="Arial" w:hAnsi="Arial"/>
          <w:color w:val="1E1E1E"/>
          <w:sz w:val="21"/>
          <w:szCs w:val="21"/>
        </w:rPr>
        <w:t xml:space="preserve">These require attention in the first 30 days:</w:t>
      </w:r>
    </w:p>
    <w:p>
      <w:pPr>
        <w:pStyle w:val="ListParagraph"/>
        <w:numPr>
          <w:ilvl w:val="0"/>
          <w:numId w:val="3"/>
        </w:numPr>
        <w:spacing w:after="100" w:line="280"/>
      </w:pPr>
      <w:r>
        <w:rPr>
          <w:rFonts w:ascii="Arial" w:cs="Arial" w:eastAsia="Arial" w:hAnsi="Arial"/>
          <w:color w:val="1E1E1E"/>
          <w:sz w:val="21"/>
          <w:szCs w:val="21"/>
        </w:rPr>
        <w:t xml:space="preserve">Unvetted AI tools are already processing student data. If staff or students are using AI tools that have not been reviewed for FERPA and COPPA compliance, the district is already exposed. Shadow AI—unapproved applications processing student inputs—is nearly invisible to IT teams while potentially storing data indefinitely or using it to train commercial models [8].</w:t>
      </w:r>
    </w:p>
    <w:p>
      <w:pPr>
        <w:pStyle w:val="ListParagraph"/>
        <w:numPr>
          <w:ilvl w:val="0"/>
          <w:numId w:val="3"/>
        </w:numPr>
        <w:spacing w:after="100" w:line="280"/>
      </w:pPr>
      <w:r>
        <w:rPr>
          <w:rFonts w:ascii="Arial" w:cs="Arial" w:eastAsia="Arial" w:hAnsi="Arial"/>
          <w:color w:val="1E1E1E"/>
          <w:sz w:val="21"/>
          <w:szCs w:val="21"/>
        </w:rPr>
        <w:t xml:space="preserve">No clear internal ownership. Without a designated person or team responsible for AI decisions, individual staff members are making de facto policy through their daily tool choices.</w:t>
      </w:r>
    </w:p>
    <w:p>
      <w:pPr>
        <w:pStyle w:val="ListParagraph"/>
        <w:numPr>
          <w:ilvl w:val="0"/>
          <w:numId w:val="3"/>
        </w:numPr>
        <w:spacing w:after="100" w:line="280"/>
      </w:pPr>
      <w:r>
        <w:rPr>
          <w:rFonts w:ascii="Arial" w:cs="Arial" w:eastAsia="Arial" w:hAnsi="Arial"/>
          <w:color w:val="1E1E1E"/>
          <w:sz w:val="21"/>
          <w:szCs w:val="21"/>
        </w:rPr>
        <w:t xml:space="preserve">Communication gaps with boards and families. If families learn about AI use through students rather than through the district, trust erodes quickly. Boards that learn about AI issues reactively are more likely to impose restrictive policies.</w:t>
      </w:r>
    </w:p>
    <w:p>
      <w:pPr>
        <w:pStyle w:val="Heading2"/>
        <w:spacing w:before="280" w:after="160"/>
      </w:pPr>
      <w:r>
        <w:rPr>
          <w:rFonts w:ascii="Georgia" w:cs="Georgia" w:eastAsia="Georgia" w:hAnsi="Georgia"/>
          <w:b/>
          <w:bCs/>
          <w:color w:val="2A7F8E"/>
          <w:sz w:val="26"/>
          <w:szCs w:val="26"/>
        </w:rPr>
        <w:t xml:space="preserve">Important but Not Urgent Issues</w:t>
      </w:r>
    </w:p>
    <w:p>
      <w:pPr>
        <w:spacing w:after="180" w:line="300"/>
      </w:pPr>
      <w:r>
        <w:rPr>
          <w:rFonts w:ascii="Arial" w:cs="Arial" w:eastAsia="Arial" w:hAnsi="Arial"/>
          <w:color w:val="1E1E1E"/>
          <w:sz w:val="21"/>
          <w:szCs w:val="21"/>
        </w:rPr>
        <w:t xml:space="preserve">These can be addressed in months two and three:</w:t>
      </w:r>
    </w:p>
    <w:p>
      <w:pPr>
        <w:pStyle w:val="ListParagraph"/>
        <w:numPr>
          <w:ilvl w:val="0"/>
          <w:numId w:val="4"/>
        </w:numPr>
        <w:spacing w:after="100" w:line="280"/>
      </w:pPr>
      <w:r>
        <w:rPr>
          <w:rFonts w:ascii="Arial" w:cs="Arial" w:eastAsia="Arial" w:hAnsi="Arial"/>
          <w:color w:val="1E1E1E"/>
          <w:sz w:val="21"/>
          <w:szCs w:val="21"/>
        </w:rPr>
        <w:t xml:space="preserve">Equity of access and training. RAND’s research consistently shows that teachers and principals in higher-poverty schools are less likely to use AI tools and less likely to receive guidance or training [4][5]. Without intentional attention, AI adoption will deepen existing inequities.</w:t>
      </w:r>
    </w:p>
    <w:p>
      <w:pPr>
        <w:pStyle w:val="ListParagraph"/>
        <w:numPr>
          <w:ilvl w:val="0"/>
          <w:numId w:val="4"/>
        </w:numPr>
        <w:spacing w:after="100" w:line="280"/>
      </w:pPr>
      <w:r>
        <w:rPr>
          <w:rFonts w:ascii="Arial" w:cs="Arial" w:eastAsia="Arial" w:hAnsi="Arial"/>
          <w:color w:val="1E1E1E"/>
          <w:sz w:val="21"/>
          <w:szCs w:val="21"/>
        </w:rPr>
        <w:t xml:space="preserve">Assessment integrity and academic honesty. Schools need updated frameworks for what constitutes student work in an AI-enabled environment, but this does not need to be resolved in the first month.</w:t>
      </w:r>
    </w:p>
    <w:p>
      <w:pPr>
        <w:pStyle w:val="ListParagraph"/>
        <w:numPr>
          <w:ilvl w:val="0"/>
          <w:numId w:val="4"/>
        </w:numPr>
        <w:spacing w:after="100" w:line="280"/>
      </w:pPr>
      <w:r>
        <w:rPr>
          <w:rFonts w:ascii="Arial" w:cs="Arial" w:eastAsia="Arial" w:hAnsi="Arial"/>
          <w:color w:val="1E1E1E"/>
          <w:sz w:val="21"/>
          <w:szCs w:val="21"/>
        </w:rPr>
        <w:t xml:space="preserve">Long-term procurement and budgeting. As ESSER funds have expired, SETDA reports that only 6% of states have plans to sustain technology initiatives that were previously supported by federal relief dollars [2]. AI tool costs need to be integrated into sustainable budget planning.</w:t>
      </w:r>
    </w:p>
    <w:p>
      <w:pPr>
        <w:spacing w:after="80"/>
      </w:pPr>
    </w:p>
    <w:p>
      <w:pPr>
        <w:pStyle w:val="Heading1"/>
        <w:spacing w:before="360" w:after="200"/>
      </w:pPr>
      <w:r>
        <w:rPr>
          <w:rFonts w:ascii="Georgia" w:cs="Georgia" w:eastAsia="Georgia" w:hAnsi="Georgia"/>
          <w:b/>
          <w:bCs/>
          <w:color w:val="1B3A5C"/>
          <w:sz w:val="32"/>
          <w:szCs w:val="32"/>
        </w:rPr>
        <w:t xml:space="preserve">The Opportunities Worth Taking Seriously</w:t>
      </w:r>
    </w:p>
    <w:p>
      <w:pPr>
        <w:spacing w:after="180" w:line="300"/>
      </w:pPr>
      <w:r>
        <w:rPr>
          <w:rFonts w:ascii="Arial" w:cs="Arial" w:eastAsia="Arial" w:hAnsi="Arial"/>
          <w:color w:val="1E1E1E"/>
          <w:sz w:val="21"/>
          <w:szCs w:val="21"/>
        </w:rPr>
        <w:t xml:space="preserve">While this paper emphasizes practical risk management, AI also presents genuine opportunities for school systems that approach adoption deliberately:</w:t>
      </w:r>
    </w:p>
    <w:p>
      <w:pPr>
        <w:pStyle w:val="ListParagraph"/>
        <w:numPr>
          <w:ilvl w:val="0"/>
          <w:numId w:val="5"/>
        </w:numPr>
        <w:spacing w:after="100" w:line="280"/>
      </w:pPr>
      <w:r>
        <w:rPr>
          <w:rFonts w:ascii="Arial" w:cs="Arial" w:eastAsia="Arial" w:hAnsi="Arial"/>
          <w:color w:val="1E1E1E"/>
          <w:sz w:val="21"/>
          <w:szCs w:val="21"/>
        </w:rPr>
        <w:t xml:space="preserve">Reducing teacher workload. CRPE’s research on early adopter districts found that most are using AI primarily to reduce teacher workload and improve productivity—tasks like generating differentiated materials, drafting feedback on student writing, and handling routine administrative tasks [9].</w:t>
      </w:r>
    </w:p>
    <w:p>
      <w:pPr>
        <w:pStyle w:val="ListParagraph"/>
        <w:numPr>
          <w:ilvl w:val="0"/>
          <w:numId w:val="5"/>
        </w:numPr>
        <w:spacing w:after="100" w:line="280"/>
      </w:pPr>
      <w:r>
        <w:rPr>
          <w:rFonts w:ascii="Arial" w:cs="Arial" w:eastAsia="Arial" w:hAnsi="Arial"/>
          <w:color w:val="1E1E1E"/>
          <w:sz w:val="21"/>
          <w:szCs w:val="21"/>
        </w:rPr>
        <w:t xml:space="preserve">Improving operational efficiency. AI tools can assist with scheduling, transportation routing, communication drafting, and data analysis. These uses carry lower risk than instructional applications and can produce visible, measurable benefits.</w:t>
      </w:r>
    </w:p>
    <w:p>
      <w:pPr>
        <w:pStyle w:val="ListParagraph"/>
        <w:numPr>
          <w:ilvl w:val="0"/>
          <w:numId w:val="5"/>
        </w:numPr>
        <w:spacing w:after="100" w:line="280"/>
      </w:pPr>
      <w:r>
        <w:rPr>
          <w:rFonts w:ascii="Arial" w:cs="Arial" w:eastAsia="Arial" w:hAnsi="Arial"/>
          <w:color w:val="1E1E1E"/>
          <w:sz w:val="21"/>
          <w:szCs w:val="21"/>
        </w:rPr>
        <w:t xml:space="preserve">Supporting multilingual learners and students with disabilities. Several district AI strategies specifically target these populations, using AI to generate translated materials, adapt content for accessibility, and provide additional practice opportunities [10].</w:t>
      </w:r>
    </w:p>
    <w:p>
      <w:pPr>
        <w:pStyle w:val="ListParagraph"/>
        <w:numPr>
          <w:ilvl w:val="0"/>
          <w:numId w:val="5"/>
        </w:numPr>
        <w:spacing w:after="100" w:line="280"/>
      </w:pPr>
      <w:r>
        <w:rPr>
          <w:rFonts w:ascii="Arial" w:cs="Arial" w:eastAsia="Arial" w:hAnsi="Arial"/>
          <w:color w:val="1E1E1E"/>
          <w:sz w:val="21"/>
          <w:szCs w:val="21"/>
        </w:rPr>
        <w:t xml:space="preserve">Building AI literacy for students. UNESCO’s AI competency frameworks for teachers and students, published in 2024, provide an international reference point for what students need to understand about AI—not just as users, but as informed citizens [11]. California’s AI guidance recommends embedding AI literacy across content areas beginning in elementary grades [12].</w:t>
      </w:r>
    </w:p>
    <w:p>
      <w:pPr>
        <w:spacing w:after="180" w:line="300"/>
      </w:pPr>
      <w:r>
        <w:rPr>
          <w:rFonts w:ascii="Arial" w:cs="Arial" w:eastAsia="Arial" w:hAnsi="Arial"/>
          <w:color w:val="1E1E1E"/>
          <w:sz w:val="21"/>
          <w:szCs w:val="21"/>
        </w:rPr>
        <w:t xml:space="preserve">The key principle is to start with use cases where the benefits are clear, the risks are manageable, and the results are visible to the school community.</w:t>
      </w:r>
    </w:p>
    <w:p>
      <w:pPr>
        <w:spacing w:after="80"/>
      </w:pPr>
    </w:p>
    <w:p>
      <w:pPr>
        <w:pStyle w:val="Heading1"/>
        <w:spacing w:before="360" w:after="200"/>
      </w:pPr>
      <w:r>
        <w:rPr>
          <w:rFonts w:ascii="Georgia" w:cs="Georgia" w:eastAsia="Georgia" w:hAnsi="Georgia"/>
          <w:b/>
          <w:bCs/>
          <w:color w:val="1B3A5C"/>
          <w:sz w:val="32"/>
          <w:szCs w:val="32"/>
        </w:rPr>
        <w:t xml:space="preserve">A Practical 90-Day Operating Plan</w:t>
      </w:r>
    </w:p>
    <w:p>
      <w:pPr>
        <w:spacing w:after="180" w:line="300"/>
      </w:pPr>
      <w:r>
        <w:rPr>
          <w:rFonts w:ascii="Arial" w:cs="Arial" w:eastAsia="Arial" w:hAnsi="Arial"/>
          <w:color w:val="1E1E1E"/>
          <w:sz w:val="21"/>
          <w:szCs w:val="21"/>
        </w:rPr>
        <w:t xml:space="preserve">This plan is designed for a leadership team that is starting from a low baseline—no formal AI policy, limited internal expertise, and competing priorities. It can be adapted for districts that are further along. The plan is organized into three phases.</w:t>
      </w:r>
    </w:p>
    <w:p>
      <w:pPr>
        <w:spacing w:after="40"/>
      </w:pPr>
    </w:p>
    <w:p>
      <w:pPr>
        <w:pStyle w:val="Heading2"/>
        <w:spacing w:before="280" w:after="160"/>
      </w:pPr>
      <w:r>
        <w:rPr>
          <w:rFonts w:ascii="Georgia" w:cs="Georgia" w:eastAsia="Georgia" w:hAnsi="Georgia"/>
          <w:b/>
          <w:bCs/>
          <w:color w:val="2A7F8E"/>
          <w:sz w:val="26"/>
          <w:szCs w:val="26"/>
        </w:rPr>
        <w:t xml:space="preserve">Phase 1: Orientation and Ownership (Days 1–30)</w:t>
      </w:r>
    </w:p>
    <w:p>
      <w:pPr>
        <w:spacing w:after="180" w:line="300"/>
      </w:pPr>
      <w:r>
        <w:rPr>
          <w:rFonts w:ascii="Arial" w:cs="Arial" w:eastAsia="Arial" w:hAnsi="Arial"/>
          <w:color w:val="1E1E1E"/>
          <w:sz w:val="21"/>
          <w:szCs w:val="21"/>
        </w:rPr>
        <w:t xml:space="preserve">The goal of this phase is to establish clear internal ownership, assess current exposure, and take the first visible steps.</w:t>
      </w:r>
    </w:p>
    <w:p>
      <w:pPr>
        <w:pStyle w:val="ListParagraph"/>
        <w:numPr>
          <w:ilvl w:val="0"/>
          <w:numId w:val="6"/>
        </w:numPr>
        <w:spacing w:after="100" w:line="280"/>
      </w:pPr>
      <w:r>
        <w:rPr>
          <w:rFonts w:ascii="Arial" w:cs="Arial" w:eastAsia="Arial" w:hAnsi="Arial"/>
          <w:b/>
          <w:bCs/>
          <w:color w:val="1E1E1E"/>
          <w:sz w:val="21"/>
          <w:szCs w:val="21"/>
        </w:rPr>
        <w:t xml:space="preserve">Designate an AI point person or working group. </w:t>
      </w:r>
      <w:r>
        <w:rPr>
          <w:rFonts w:ascii="Arial" w:cs="Arial" w:eastAsia="Arial" w:hAnsi="Arial"/>
          <w:color w:val="1E1E1E"/>
          <w:sz w:val="21"/>
          <w:szCs w:val="21"/>
        </w:rPr>
        <w:t xml:space="preserve">This does not need to be a new hire. Assign a cabinet member, instructional technology lead, or cross-functional team with a clear 90-day charter. Include representation from curriculum, IT, legal/compliance, communications, and at least one school-level administrator.</w:t>
      </w:r>
    </w:p>
    <w:p>
      <w:pPr>
        <w:pStyle w:val="ListParagraph"/>
        <w:numPr>
          <w:ilvl w:val="0"/>
          <w:numId w:val="6"/>
        </w:numPr>
        <w:spacing w:after="100" w:line="280"/>
      </w:pPr>
      <w:r>
        <w:rPr>
          <w:rFonts w:ascii="Arial" w:cs="Arial" w:eastAsia="Arial" w:hAnsi="Arial"/>
          <w:b/>
          <w:bCs/>
          <w:color w:val="1E1E1E"/>
          <w:sz w:val="21"/>
          <w:szCs w:val="21"/>
        </w:rPr>
        <w:t xml:space="preserve">Conduct a rapid AI inventory. </w:t>
      </w:r>
      <w:r>
        <w:rPr>
          <w:rFonts w:ascii="Arial" w:cs="Arial" w:eastAsia="Arial" w:hAnsi="Arial"/>
          <w:color w:val="1E1E1E"/>
          <w:sz w:val="21"/>
          <w:szCs w:val="21"/>
        </w:rPr>
        <w:t xml:space="preserve">Survey staff and review vendor contracts to identify which AI tools are already in use, which platforms have added AI features, and where student data may be flowing to AI systems without formal approval.</w:t>
      </w:r>
    </w:p>
    <w:p>
      <w:pPr>
        <w:pStyle w:val="ListParagraph"/>
        <w:numPr>
          <w:ilvl w:val="0"/>
          <w:numId w:val="6"/>
        </w:numPr>
        <w:spacing w:after="100" w:line="280"/>
      </w:pPr>
      <w:r>
        <w:rPr>
          <w:rFonts w:ascii="Arial" w:cs="Arial" w:eastAsia="Arial" w:hAnsi="Arial"/>
          <w:b/>
          <w:bCs/>
          <w:color w:val="1E1E1E"/>
          <w:sz w:val="21"/>
          <w:szCs w:val="21"/>
        </w:rPr>
        <w:t xml:space="preserve">Issue an interim use statement. </w:t>
      </w:r>
      <w:r>
        <w:rPr>
          <w:rFonts w:ascii="Arial" w:cs="Arial" w:eastAsia="Arial" w:hAnsi="Arial"/>
          <w:color w:val="1E1E1E"/>
          <w:sz w:val="21"/>
          <w:szCs w:val="21"/>
        </w:rPr>
        <w:t xml:space="preserve">Even a brief, one-page communication to staff can reduce anxiety and set expectations. State what is currently allowed, what requires approval, and who to contact with questions. This is not a full policy—it is a holding position.</w:t>
      </w:r>
    </w:p>
    <w:p>
      <w:pPr>
        <w:pStyle w:val="ListParagraph"/>
        <w:numPr>
          <w:ilvl w:val="0"/>
          <w:numId w:val="6"/>
        </w:numPr>
        <w:spacing w:after="100" w:line="280"/>
      </w:pPr>
      <w:r>
        <w:rPr>
          <w:rFonts w:ascii="Arial" w:cs="Arial" w:eastAsia="Arial" w:hAnsi="Arial"/>
          <w:b/>
          <w:bCs/>
          <w:color w:val="1E1E1E"/>
          <w:sz w:val="21"/>
          <w:szCs w:val="21"/>
        </w:rPr>
        <w:t xml:space="preserve">Review data privacy agreements. </w:t>
      </w:r>
      <w:r>
        <w:rPr>
          <w:rFonts w:ascii="Arial" w:cs="Arial" w:eastAsia="Arial" w:hAnsi="Arial"/>
          <w:color w:val="1E1E1E"/>
          <w:sz w:val="21"/>
          <w:szCs w:val="21"/>
        </w:rPr>
        <w:t xml:space="preserve">Prioritize vendors whose products now include AI features. Confirm that data processing agreements address AI-specific uses, including whether student data is used for model training.</w:t>
      </w:r>
    </w:p>
    <w:p>
      <w:pPr>
        <w:spacing w:after="40"/>
      </w:pPr>
    </w:p>
    <w:p>
      <w:pPr>
        <w:pStyle w:val="Heading2"/>
        <w:spacing w:before="280" w:after="160"/>
      </w:pPr>
      <w:r>
        <w:rPr>
          <w:rFonts w:ascii="Georgia" w:cs="Georgia" w:eastAsia="Georgia" w:hAnsi="Georgia"/>
          <w:b/>
          <w:bCs/>
          <w:color w:val="2A7F8E"/>
          <w:sz w:val="26"/>
          <w:szCs w:val="26"/>
        </w:rPr>
        <w:t xml:space="preserve">Phase 2: Guardrails and Guided Use (Days 31–60)</w:t>
      </w:r>
    </w:p>
    <w:p>
      <w:pPr>
        <w:spacing w:after="180" w:line="300"/>
      </w:pPr>
      <w:r>
        <w:rPr>
          <w:rFonts w:ascii="Arial" w:cs="Arial" w:eastAsia="Arial" w:hAnsi="Arial"/>
          <w:color w:val="1E1E1E"/>
          <w:sz w:val="21"/>
          <w:szCs w:val="21"/>
        </w:rPr>
        <w:t xml:space="preserve">The goal of this phase is to establish basic boundaries and begin building staff capacity.</w:t>
      </w:r>
    </w:p>
    <w:p>
      <w:pPr>
        <w:pStyle w:val="ListParagraph"/>
        <w:numPr>
          <w:ilvl w:val="0"/>
          <w:numId w:val="7"/>
        </w:numPr>
        <w:spacing w:after="100" w:line="280"/>
      </w:pPr>
      <w:r>
        <w:rPr>
          <w:rFonts w:ascii="Arial" w:cs="Arial" w:eastAsia="Arial" w:hAnsi="Arial"/>
          <w:b/>
          <w:bCs/>
          <w:color w:val="1E1E1E"/>
          <w:sz w:val="21"/>
          <w:szCs w:val="21"/>
        </w:rPr>
        <w:t xml:space="preserve">Draft a responsible use framework. </w:t>
      </w:r>
      <w:r>
        <w:rPr>
          <w:rFonts w:ascii="Arial" w:cs="Arial" w:eastAsia="Arial" w:hAnsi="Arial"/>
          <w:color w:val="1E1E1E"/>
          <w:sz w:val="21"/>
          <w:szCs w:val="21"/>
        </w:rPr>
        <w:t xml:space="preserve">Build on your interim statement to create guidance that addresses staff use, student use, and administrative use. Distinguish between approved, provisionally approved, and not-yet-approved tools. Reference your state’s AI guidance if available.</w:t>
      </w:r>
    </w:p>
    <w:p>
      <w:pPr>
        <w:pStyle w:val="ListParagraph"/>
        <w:numPr>
          <w:ilvl w:val="0"/>
          <w:numId w:val="7"/>
        </w:numPr>
        <w:spacing w:after="100" w:line="280"/>
      </w:pPr>
      <w:r>
        <w:rPr>
          <w:rFonts w:ascii="Arial" w:cs="Arial" w:eastAsia="Arial" w:hAnsi="Arial"/>
          <w:b/>
          <w:bCs/>
          <w:color w:val="1E1E1E"/>
          <w:sz w:val="21"/>
          <w:szCs w:val="21"/>
        </w:rPr>
        <w:t xml:space="preserve">Begin introductory professional learning. </w:t>
      </w:r>
      <w:r>
        <w:rPr>
          <w:rFonts w:ascii="Arial" w:cs="Arial" w:eastAsia="Arial" w:hAnsi="Arial"/>
          <w:color w:val="1E1E1E"/>
          <w:sz w:val="21"/>
          <w:szCs w:val="21"/>
        </w:rPr>
        <w:t xml:space="preserve">RAND’s research found that district leaders focused initial AI training on addressing teacher fear and discomfort rather than jumping into instructional tools [5]. Start there. Normalize the conversation and build shared vocabulary before introducing specific applications.</w:t>
      </w:r>
    </w:p>
    <w:p>
      <w:pPr>
        <w:pStyle w:val="ListParagraph"/>
        <w:numPr>
          <w:ilvl w:val="0"/>
          <w:numId w:val="7"/>
        </w:numPr>
        <w:spacing w:after="100" w:line="280"/>
      </w:pPr>
      <w:r>
        <w:rPr>
          <w:rFonts w:ascii="Arial" w:cs="Arial" w:eastAsia="Arial" w:hAnsi="Arial"/>
          <w:b/>
          <w:bCs/>
          <w:color w:val="1E1E1E"/>
          <w:sz w:val="21"/>
          <w:szCs w:val="21"/>
        </w:rPr>
        <w:t xml:space="preserve">Select 2–3 pilot use cases. </w:t>
      </w:r>
      <w:r>
        <w:rPr>
          <w:rFonts w:ascii="Arial" w:cs="Arial" w:eastAsia="Arial" w:hAnsi="Arial"/>
          <w:color w:val="1E1E1E"/>
          <w:sz w:val="21"/>
          <w:szCs w:val="21"/>
        </w:rPr>
        <w:t xml:space="preserve">Choose applications that are low-risk, high-visibility, and aligned with existing priorities. Examples: using AI to assist with lesson plan drafting, generating parent communication translations, or streamlining a specific administrative workflow.</w:t>
      </w:r>
    </w:p>
    <w:p>
      <w:pPr>
        <w:pStyle w:val="ListParagraph"/>
        <w:numPr>
          <w:ilvl w:val="0"/>
          <w:numId w:val="7"/>
        </w:numPr>
        <w:spacing w:after="100" w:line="280"/>
      </w:pPr>
      <w:r>
        <w:rPr>
          <w:rFonts w:ascii="Arial" w:cs="Arial" w:eastAsia="Arial" w:hAnsi="Arial"/>
          <w:b/>
          <w:bCs/>
          <w:color w:val="1E1E1E"/>
          <w:sz w:val="21"/>
          <w:szCs w:val="21"/>
        </w:rPr>
        <w:t xml:space="preserve">Communicate with your board. </w:t>
      </w:r>
      <w:r>
        <w:rPr>
          <w:rFonts w:ascii="Arial" w:cs="Arial" w:eastAsia="Arial" w:hAnsi="Arial"/>
          <w:color w:val="1E1E1E"/>
          <w:sz w:val="21"/>
          <w:szCs w:val="21"/>
        </w:rPr>
        <w:t xml:space="preserve">Provide a brief update at a board meeting or through a written memo. Frame it around risk management and responsible stewardship, not technology enthusiasm. Include: what you have found, what you are doing about it, and what you will report back on.</w:t>
      </w:r>
    </w:p>
    <w:p>
      <w:pPr>
        <w:spacing w:after="40"/>
      </w:pPr>
    </w:p>
    <w:p>
      <w:pPr>
        <w:pStyle w:val="Heading2"/>
        <w:spacing w:before="280" w:after="160"/>
      </w:pPr>
      <w:r>
        <w:rPr>
          <w:rFonts w:ascii="Georgia" w:cs="Georgia" w:eastAsia="Georgia" w:hAnsi="Georgia"/>
          <w:b/>
          <w:bCs/>
          <w:color w:val="2A7F8E"/>
          <w:sz w:val="26"/>
          <w:szCs w:val="26"/>
        </w:rPr>
        <w:t xml:space="preserve">Phase 3: Evaluation and Institutional Learning (Days 61–90)</w:t>
      </w:r>
    </w:p>
    <w:p>
      <w:pPr>
        <w:spacing w:after="180" w:line="300"/>
      </w:pPr>
      <w:r>
        <w:rPr>
          <w:rFonts w:ascii="Arial" w:cs="Arial" w:eastAsia="Arial" w:hAnsi="Arial"/>
          <w:color w:val="1E1E1E"/>
          <w:sz w:val="21"/>
          <w:szCs w:val="21"/>
        </w:rPr>
        <w:t xml:space="preserve">The goal of this phase is to assess early results, adjust course, and set direction for the next cycle.</w:t>
      </w:r>
    </w:p>
    <w:p>
      <w:pPr>
        <w:pStyle w:val="ListParagraph"/>
        <w:numPr>
          <w:ilvl w:val="0"/>
          <w:numId w:val="6"/>
        </w:numPr>
        <w:spacing w:after="100" w:line="280"/>
      </w:pPr>
      <w:r>
        <w:rPr>
          <w:rFonts w:ascii="Arial" w:cs="Arial" w:eastAsia="Arial" w:hAnsi="Arial"/>
          <w:b/>
          <w:bCs/>
          <w:color w:val="1E1E1E"/>
          <w:sz w:val="21"/>
          <w:szCs w:val="21"/>
        </w:rPr>
        <w:t xml:space="preserve">Evaluate pilot outcomes. </w:t>
      </w:r>
      <w:r>
        <w:rPr>
          <w:rFonts w:ascii="Arial" w:cs="Arial" w:eastAsia="Arial" w:hAnsi="Arial"/>
          <w:color w:val="1E1E1E"/>
          <w:sz w:val="21"/>
          <w:szCs w:val="21"/>
        </w:rPr>
        <w:t xml:space="preserve">What worked? What did staff report? Were there compliance issues? What questions emerged? Document findings in a brief internal report.</w:t>
      </w:r>
    </w:p>
    <w:p>
      <w:pPr>
        <w:pStyle w:val="ListParagraph"/>
        <w:numPr>
          <w:ilvl w:val="0"/>
          <w:numId w:val="6"/>
        </w:numPr>
        <w:spacing w:after="100" w:line="280"/>
      </w:pPr>
      <w:r>
        <w:rPr>
          <w:rFonts w:ascii="Arial" w:cs="Arial" w:eastAsia="Arial" w:hAnsi="Arial"/>
          <w:b/>
          <w:bCs/>
          <w:color w:val="1E1E1E"/>
          <w:sz w:val="21"/>
          <w:szCs w:val="21"/>
        </w:rPr>
        <w:t xml:space="preserve">Communicate with families. </w:t>
      </w:r>
      <w:r>
        <w:rPr>
          <w:rFonts w:ascii="Arial" w:cs="Arial" w:eastAsia="Arial" w:hAnsi="Arial"/>
          <w:color w:val="1E1E1E"/>
          <w:sz w:val="21"/>
          <w:szCs w:val="21"/>
        </w:rPr>
        <w:t xml:space="preserve">Share a clear, jargon-free overview of how the district is approaching AI. Explain what tools are in use, what safeguards are in place, and how families can ask questions or raise concerns.</w:t>
      </w:r>
    </w:p>
    <w:p>
      <w:pPr>
        <w:pStyle w:val="ListParagraph"/>
        <w:numPr>
          <w:ilvl w:val="0"/>
          <w:numId w:val="6"/>
        </w:numPr>
        <w:spacing w:after="100" w:line="280"/>
      </w:pPr>
      <w:r>
        <w:rPr>
          <w:rFonts w:ascii="Arial" w:cs="Arial" w:eastAsia="Arial" w:hAnsi="Arial"/>
          <w:b/>
          <w:bCs/>
          <w:color w:val="1E1E1E"/>
          <w:sz w:val="21"/>
          <w:szCs w:val="21"/>
        </w:rPr>
        <w:t xml:space="preserve">Set a 6-month roadmap. </w:t>
      </w:r>
      <w:r>
        <w:rPr>
          <w:rFonts w:ascii="Arial" w:cs="Arial" w:eastAsia="Arial" w:hAnsi="Arial"/>
          <w:color w:val="1E1E1E"/>
          <w:sz w:val="21"/>
          <w:szCs w:val="21"/>
        </w:rPr>
        <w:t xml:space="preserve">Based on what you have learned, outline the next set of decisions and investments. This might include expanding professional learning, formalizing procurement criteria, updating academic integrity policies, or pursuing external review and support.</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7F8E" w:sz="1"/>
              <w:left w:val="single" w:color="2A7F8E" w:sz="8"/>
              <w:bottom w:val="single" w:color="2A7F8E" w:sz="1"/>
              <w:right w:val="single" w:color="2A7F8E" w:sz="1"/>
            </w:tcBorders>
            <w:shd w:fill="EAF4F6" w:val="clear"/>
            <w:tcMar>
              <w:top w:type="dxa" w:w="140"/>
              <w:left w:type="dxa" w:w="200"/>
              <w:bottom w:type="dxa" w:w="140"/>
              <w:right w:type="dxa" w:w="200"/>
            </w:tcMar>
          </w:tcPr>
          <w:p>
            <w:pPr>
              <w:spacing w:after="80"/>
            </w:pPr>
            <w:r>
              <w:rPr>
                <w:rFonts w:ascii="Georgia" w:cs="Georgia" w:eastAsia="Georgia" w:hAnsi="Georgia"/>
                <w:b/>
                <w:bCs/>
                <w:color w:val="2A7F8E"/>
                <w:sz w:val="22"/>
                <w:szCs w:val="22"/>
              </w:rPr>
              <w:t xml:space="preserve">Key Takeaway</w:t>
            </w:r>
          </w:p>
          <w:p>
            <w:pPr>
              <w:spacing w:after="0" w:line="280"/>
            </w:pPr>
            <w:r>
              <w:rPr>
                <w:rFonts w:ascii="Arial" w:cs="Arial" w:eastAsia="Arial" w:hAnsi="Arial"/>
                <w:color w:val="1E1E1E"/>
                <w:sz w:val="20"/>
                <w:szCs w:val="20"/>
              </w:rPr>
              <w:t xml:space="preserve">The 90-day plan is not designed to produce a finished AI strategy. It is designed to produce a leadership team that knows what it is dealing with, has made a few visible decisions, and can credibly tell its community: we are paying attention, and we are being responsible.</w:t>
            </w:r>
          </w:p>
        </w:tc>
      </w:tr>
    </w:tbl>
    <w:p>
      <w:pPr>
        <w:spacing w:after="120"/>
      </w:pPr>
    </w:p>
    <w:p>
      <w:pPr>
        <w:pStyle w:val="Heading1"/>
        <w:spacing w:before="360" w:after="200"/>
      </w:pPr>
      <w:r>
        <w:rPr>
          <w:rFonts w:ascii="Georgia" w:cs="Georgia" w:eastAsia="Georgia" w:hAnsi="Georgia"/>
          <w:b/>
          <w:bCs/>
          <w:color w:val="1B3A5C"/>
          <w:sz w:val="32"/>
          <w:szCs w:val="32"/>
        </w:rPr>
        <w:t xml:space="preserve">Governance and Decision Ownership</w:t>
      </w:r>
    </w:p>
    <w:p>
      <w:pPr>
        <w:spacing w:after="180" w:line="300"/>
      </w:pPr>
      <w:r>
        <w:rPr>
          <w:rFonts w:ascii="Arial" w:cs="Arial" w:eastAsia="Arial" w:hAnsi="Arial"/>
          <w:color w:val="1E1E1E"/>
          <w:sz w:val="21"/>
          <w:szCs w:val="21"/>
        </w:rPr>
        <w:t xml:space="preserve">One of the most common failure modes in early AI adoption is the absence of clear decision rights. When no one is explicitly responsible for AI decisions, the result is a patchwork of individual choices that creates inconsistency, compliance exposure, and public confusion.</w:t>
      </w:r>
    </w:p>
    <w:p>
      <w:pPr>
        <w:spacing w:after="180" w:line="300"/>
      </w:pPr>
      <w:r>
        <w:rPr>
          <w:rFonts w:ascii="Arial" w:cs="Arial" w:eastAsia="Arial" w:hAnsi="Arial"/>
          <w:color w:val="1E1E1E"/>
          <w:sz w:val="21"/>
          <w:szCs w:val="21"/>
        </w:rPr>
        <w:t xml:space="preserve">Effective governance at this stage does not require a complex structure. It requires clarity on three questions:</w:t>
      </w:r>
    </w:p>
    <w:p>
      <w:pPr>
        <w:pStyle w:val="ListParagraph"/>
        <w:numPr>
          <w:ilvl w:val="0"/>
          <w:numId w:val="8"/>
        </w:numPr>
        <w:spacing w:after="100" w:line="280"/>
      </w:pPr>
      <w:r>
        <w:rPr>
          <w:rFonts w:ascii="Arial" w:cs="Arial" w:eastAsia="Arial" w:hAnsi="Arial"/>
          <w:color w:val="1E1E1E"/>
          <w:sz w:val="21"/>
          <w:szCs w:val="21"/>
        </w:rPr>
        <w:t xml:space="preserve">Who decides which AI tools can be used, and under what conditions?</w:t>
      </w:r>
    </w:p>
    <w:p>
      <w:pPr>
        <w:pStyle w:val="ListParagraph"/>
        <w:numPr>
          <w:ilvl w:val="0"/>
          <w:numId w:val="8"/>
        </w:numPr>
        <w:spacing w:after="100" w:line="280"/>
      </w:pPr>
      <w:r>
        <w:rPr>
          <w:rFonts w:ascii="Arial" w:cs="Arial" w:eastAsia="Arial" w:hAnsi="Arial"/>
          <w:color w:val="1E1E1E"/>
          <w:sz w:val="21"/>
          <w:szCs w:val="21"/>
        </w:rPr>
        <w:t xml:space="preserve">Who is responsible for reviewing vendor data practices related to AI?</w:t>
      </w:r>
    </w:p>
    <w:p>
      <w:pPr>
        <w:pStyle w:val="ListParagraph"/>
        <w:numPr>
          <w:ilvl w:val="0"/>
          <w:numId w:val="8"/>
        </w:numPr>
        <w:spacing w:after="100" w:line="280"/>
      </w:pPr>
      <w:r>
        <w:rPr>
          <w:rFonts w:ascii="Arial" w:cs="Arial" w:eastAsia="Arial" w:hAnsi="Arial"/>
          <w:color w:val="1E1E1E"/>
          <w:sz w:val="21"/>
          <w:szCs w:val="21"/>
        </w:rPr>
        <w:t xml:space="preserve">Who communicates AI-related decisions to the board, staff, and families?</w:t>
      </w:r>
    </w:p>
    <w:p>
      <w:pPr>
        <w:spacing w:after="180" w:line="300"/>
      </w:pPr>
      <w:r>
        <w:rPr>
          <w:rFonts w:ascii="Arial" w:cs="Arial" w:eastAsia="Arial" w:hAnsi="Arial"/>
          <w:color w:val="1E1E1E"/>
          <w:sz w:val="21"/>
          <w:szCs w:val="21"/>
        </w:rPr>
        <w:t xml:space="preserve">In most districts, the answers will involve existing roles—a chief academic officer, a director of technology, a communications lead—with an explicit addition to their portfolio. The important thing is that the assignment is visible and documented.</w:t>
      </w:r>
    </w:p>
    <w:p>
      <w:pPr>
        <w:spacing w:after="180" w:line="300"/>
      </w:pPr>
      <w:r>
        <w:rPr>
          <w:rFonts w:ascii="Arial" w:cs="Arial" w:eastAsia="Arial" w:hAnsi="Arial"/>
          <w:color w:val="1E1E1E"/>
          <w:sz w:val="21"/>
          <w:szCs w:val="21"/>
        </w:rPr>
        <w:t xml:space="preserve">CRPE’s research on early adopter districts found that those making the most coherent progress had designated cross-functional teams with clear charters, rather than assigning AI to a single department [9]. The U.S. Department of Education’s toolkit similarly encourages districts to build strategic planning processes for AI that draw on evidence and community input [1].</w:t>
      </w:r>
    </w:p>
    <w:p>
      <w:pPr>
        <w:spacing w:after="80"/>
      </w:pPr>
    </w:p>
    <w:p>
      <w:pPr>
        <w:pStyle w:val="Heading1"/>
        <w:spacing w:before="360" w:after="200"/>
      </w:pPr>
      <w:r>
        <w:rPr>
          <w:rFonts w:ascii="Georgia" w:cs="Georgia" w:eastAsia="Georgia" w:hAnsi="Georgia"/>
          <w:b/>
          <w:bCs/>
          <w:color w:val="1B3A5C"/>
          <w:sz w:val="32"/>
          <w:szCs w:val="32"/>
        </w:rPr>
        <w:t xml:space="preserve">Communication with Boards, Staff, and Families</w:t>
      </w:r>
    </w:p>
    <w:p>
      <w:pPr>
        <w:spacing w:after="180" w:line="300"/>
      </w:pPr>
      <w:r>
        <w:rPr>
          <w:rFonts w:ascii="Arial" w:cs="Arial" w:eastAsia="Arial" w:hAnsi="Arial"/>
          <w:color w:val="1E1E1E"/>
          <w:sz w:val="21"/>
          <w:szCs w:val="21"/>
        </w:rPr>
        <w:t xml:space="preserve">Communication is not a secondary concern. It is a core operational discipline in AI readiness. The biggest risk most districts face is not a technical failure—it is a trust failure.</w:t>
      </w:r>
    </w:p>
    <w:p>
      <w:pPr>
        <w:pStyle w:val="Heading2"/>
        <w:spacing w:before="280" w:after="160"/>
      </w:pPr>
      <w:r>
        <w:rPr>
          <w:rFonts w:ascii="Georgia" w:cs="Georgia" w:eastAsia="Georgia" w:hAnsi="Georgia"/>
          <w:b/>
          <w:bCs/>
          <w:color w:val="2A7F8E"/>
          <w:sz w:val="26"/>
          <w:szCs w:val="26"/>
        </w:rPr>
        <w:t xml:space="preserve">Boards</w:t>
      </w:r>
    </w:p>
    <w:p>
      <w:pPr>
        <w:spacing w:after="180" w:line="300"/>
      </w:pPr>
      <w:r>
        <w:rPr>
          <w:rFonts w:ascii="Arial" w:cs="Arial" w:eastAsia="Arial" w:hAnsi="Arial"/>
          <w:color w:val="1E1E1E"/>
          <w:sz w:val="21"/>
          <w:szCs w:val="21"/>
        </w:rPr>
        <w:t xml:space="preserve">Board members need enough information to fulfill their governance role without being overwhelmed by technical detail. Provide concise written updates that cover: what AI tools are currently in use, what guardrails are in place, what risks have been identified, and what the leadership team is doing about them. Avoid both minimizing the issue and creating unnecessary alarm.</w:t>
      </w:r>
    </w:p>
    <w:p>
      <w:pPr>
        <w:pStyle w:val="Heading2"/>
        <w:spacing w:before="280" w:after="160"/>
      </w:pPr>
      <w:r>
        <w:rPr>
          <w:rFonts w:ascii="Georgia" w:cs="Georgia" w:eastAsia="Georgia" w:hAnsi="Georgia"/>
          <w:b/>
          <w:bCs/>
          <w:color w:val="2A7F8E"/>
          <w:sz w:val="26"/>
          <w:szCs w:val="26"/>
        </w:rPr>
        <w:t xml:space="preserve">Staff</w:t>
      </w:r>
    </w:p>
    <w:p>
      <w:pPr>
        <w:spacing w:after="180" w:line="300"/>
      </w:pPr>
      <w:r>
        <w:rPr>
          <w:rFonts w:ascii="Arial" w:cs="Arial" w:eastAsia="Arial" w:hAnsi="Arial"/>
          <w:color w:val="1E1E1E"/>
          <w:sz w:val="21"/>
          <w:szCs w:val="21"/>
        </w:rPr>
        <w:t xml:space="preserve">Teachers and support staff need clarity about expectations and genuine opportunity to ask questions. RAND’s research found that teacher fear and confusion are the primary barriers to productive AI engagement—more than technical skill gaps [5]. Effective communication with staff acknowledges uncertainty honestly and provides a clear framework for what is and is not expected.</w:t>
      </w:r>
    </w:p>
    <w:p>
      <w:pPr>
        <w:pStyle w:val="Heading2"/>
        <w:spacing w:before="280" w:after="160"/>
      </w:pPr>
      <w:r>
        <w:rPr>
          <w:rFonts w:ascii="Georgia" w:cs="Georgia" w:eastAsia="Georgia" w:hAnsi="Georgia"/>
          <w:b/>
          <w:bCs/>
          <w:color w:val="2A7F8E"/>
          <w:sz w:val="26"/>
          <w:szCs w:val="26"/>
        </w:rPr>
        <w:t xml:space="preserve">Families</w:t>
      </w:r>
    </w:p>
    <w:p>
      <w:pPr>
        <w:spacing w:after="180" w:line="300"/>
      </w:pPr>
      <w:r>
        <w:rPr>
          <w:rFonts w:ascii="Arial" w:cs="Arial" w:eastAsia="Arial" w:hAnsi="Arial"/>
          <w:color w:val="1E1E1E"/>
          <w:sz w:val="21"/>
          <w:szCs w:val="21"/>
        </w:rPr>
        <w:t xml:space="preserve">The U.S. Department of Education’s July 2025 guidance explicitly emphasizes the importance of engaging parents in decisions about AI adoption [1]. Families do not need a detailed technology briefing. They need to know: what the district is doing, why, what protections are in place for their children, and how they can provide input. A short, clear letter or webpage is more effective than a lengthy policy document.</w:t>
      </w:r>
    </w:p>
    <w:p>
      <w:pPr>
        <w:spacing w:after="80"/>
      </w:pPr>
    </w:p>
    <w:p>
      <w:pPr>
        <w:pStyle w:val="Heading1"/>
        <w:spacing w:before="360" w:after="200"/>
      </w:pPr>
      <w:r>
        <w:rPr>
          <w:rFonts w:ascii="Georgia" w:cs="Georgia" w:eastAsia="Georgia" w:hAnsi="Georgia"/>
          <w:b/>
          <w:bCs/>
          <w:color w:val="1B3A5C"/>
          <w:sz w:val="32"/>
          <w:szCs w:val="32"/>
        </w:rPr>
        <w:t xml:space="preserve">What Not to Do in the First 90 Days</w:t>
      </w:r>
    </w:p>
    <w:p>
      <w:pPr>
        <w:spacing w:after="180" w:line="300"/>
      </w:pPr>
      <w:r>
        <w:rPr>
          <w:rFonts w:ascii="Arial" w:cs="Arial" w:eastAsia="Arial" w:hAnsi="Arial"/>
          <w:color w:val="1E1E1E"/>
          <w:sz w:val="21"/>
          <w:szCs w:val="21"/>
        </w:rPr>
        <w:t xml:space="preserve">Knowing what to avoid is as important as knowing what to do. Based on the research and emerging patterns from districts nationally, these are the most common early missteps:</w:t>
      </w:r>
    </w:p>
    <w:p>
      <w:pPr>
        <w:pStyle w:val="ListParagraph"/>
        <w:numPr>
          <w:ilvl w:val="0"/>
          <w:numId w:val="2"/>
        </w:numPr>
        <w:spacing w:after="100" w:line="280"/>
      </w:pPr>
      <w:r>
        <w:rPr>
          <w:rFonts w:ascii="Arial" w:cs="Arial" w:eastAsia="Arial" w:hAnsi="Arial"/>
          <w:color w:val="1E1E1E"/>
          <w:sz w:val="21"/>
          <w:szCs w:val="21"/>
        </w:rPr>
        <w:t xml:space="preserve">Do not attempt to write a comprehensive, multi-year AI strategy before you understand what is already happening in your district. Strategy should follow assessment, not precede it.</w:t>
      </w:r>
    </w:p>
    <w:p>
      <w:pPr>
        <w:pStyle w:val="ListParagraph"/>
        <w:numPr>
          <w:ilvl w:val="0"/>
          <w:numId w:val="2"/>
        </w:numPr>
        <w:spacing w:after="100" w:line="280"/>
      </w:pPr>
      <w:r>
        <w:rPr>
          <w:rFonts w:ascii="Arial" w:cs="Arial" w:eastAsia="Arial" w:hAnsi="Arial"/>
          <w:color w:val="1E1E1E"/>
          <w:sz w:val="21"/>
          <w:szCs w:val="21"/>
        </w:rPr>
        <w:t xml:space="preserve">Do not issue a blanket ban on AI. CRPE’s research suggests that most districts are interested in exploring AI’s positive potential rather than restricting it, and that bans often push use underground rather than eliminating it [13].</w:t>
      </w:r>
    </w:p>
    <w:p>
      <w:pPr>
        <w:pStyle w:val="ListParagraph"/>
        <w:numPr>
          <w:ilvl w:val="0"/>
          <w:numId w:val="2"/>
        </w:numPr>
        <w:spacing w:after="100" w:line="280"/>
      </w:pPr>
      <w:r>
        <w:rPr>
          <w:rFonts w:ascii="Arial" w:cs="Arial" w:eastAsia="Arial" w:hAnsi="Arial"/>
          <w:color w:val="1E1E1E"/>
          <w:sz w:val="21"/>
          <w:szCs w:val="21"/>
        </w:rPr>
        <w:t xml:space="preserve">Do not purchase a major AI platform in the first 90 days. Pilot low-cost or no-cost options first. Understand what your staff actually needs before committing budget.</w:t>
      </w:r>
    </w:p>
    <w:p>
      <w:pPr>
        <w:pStyle w:val="ListParagraph"/>
        <w:numPr>
          <w:ilvl w:val="0"/>
          <w:numId w:val="2"/>
        </w:numPr>
        <w:spacing w:after="100" w:line="280"/>
      </w:pPr>
      <w:r>
        <w:rPr>
          <w:rFonts w:ascii="Arial" w:cs="Arial" w:eastAsia="Arial" w:hAnsi="Arial"/>
          <w:color w:val="1E1E1E"/>
          <w:sz w:val="21"/>
          <w:szCs w:val="21"/>
        </w:rPr>
        <w:t xml:space="preserve">Do not delegate all AI decisions to IT. AI touches instruction, assessment, communications, HR, and legal compliance. It requires cross-functional oversight.</w:t>
      </w:r>
    </w:p>
    <w:p>
      <w:pPr>
        <w:pStyle w:val="ListParagraph"/>
        <w:numPr>
          <w:ilvl w:val="0"/>
          <w:numId w:val="2"/>
        </w:numPr>
        <w:spacing w:after="100" w:line="280"/>
      </w:pPr>
      <w:r>
        <w:rPr>
          <w:rFonts w:ascii="Arial" w:cs="Arial" w:eastAsia="Arial" w:hAnsi="Arial"/>
          <w:color w:val="1E1E1E"/>
          <w:sz w:val="21"/>
          <w:szCs w:val="21"/>
        </w:rPr>
        <w:t xml:space="preserve">Do not wait for perfect information before communicating. Silence creates more anxiety than honest acknowledgment of what you know and do not yet know.</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A7F8E" w:sz="1"/>
              <w:left w:val="single" w:color="2A7F8E" w:sz="8"/>
              <w:bottom w:val="single" w:color="2A7F8E" w:sz="1"/>
              <w:right w:val="single" w:color="2A7F8E" w:sz="1"/>
            </w:tcBorders>
            <w:shd w:fill="EAF4F6" w:val="clear"/>
            <w:tcMar>
              <w:top w:type="dxa" w:w="140"/>
              <w:left w:type="dxa" w:w="200"/>
              <w:bottom w:type="dxa" w:w="140"/>
              <w:right w:type="dxa" w:w="200"/>
            </w:tcMar>
          </w:tcPr>
          <w:p>
            <w:pPr>
              <w:spacing w:after="80"/>
            </w:pPr>
            <w:r>
              <w:rPr>
                <w:rFonts w:ascii="Georgia" w:cs="Georgia" w:eastAsia="Georgia" w:hAnsi="Georgia"/>
                <w:b/>
                <w:bCs/>
                <w:color w:val="2A7F8E"/>
                <w:sz w:val="22"/>
                <w:szCs w:val="22"/>
              </w:rPr>
              <w:t xml:space="preserve">What to Remember</w:t>
            </w:r>
          </w:p>
          <w:p>
            <w:pPr>
              <w:spacing w:after="0" w:line="280"/>
            </w:pPr>
            <w:r>
              <w:rPr>
                <w:rFonts w:ascii="Arial" w:cs="Arial" w:eastAsia="Arial" w:hAnsi="Arial"/>
                <w:color w:val="1E1E1E"/>
                <w:sz w:val="20"/>
                <w:szCs w:val="20"/>
              </w:rPr>
              <w:t xml:space="preserve">The districts making the steadiest progress are not the ones with the most ambitious plans. They are the ones that assigned ownership, made a few clear decisions early, communicated transparently, and created space to learn and adjust.</w:t>
            </w:r>
          </w:p>
        </w:tc>
      </w:tr>
    </w:tbl>
    <w:p>
      <w:pPr>
        <w:spacing w:after="120"/>
      </w:pPr>
    </w:p>
    <w:p>
      <w:pPr>
        <w:pStyle w:val="Heading1"/>
        <w:spacing w:before="360" w:after="200"/>
      </w:pPr>
      <w:r>
        <w:rPr>
          <w:rFonts w:ascii="Georgia" w:cs="Georgia" w:eastAsia="Georgia" w:hAnsi="Georgia"/>
          <w:b/>
          <w:bCs/>
          <w:color w:val="1B3A5C"/>
          <w:sz w:val="32"/>
          <w:szCs w:val="32"/>
        </w:rPr>
        <w:t xml:space="preserve">Leadership Decision Checklist</w:t>
      </w:r>
    </w:p>
    <w:p>
      <w:pPr>
        <w:spacing w:after="180" w:line="300"/>
      </w:pPr>
      <w:r>
        <w:rPr>
          <w:rFonts w:ascii="Arial" w:cs="Arial" w:eastAsia="Arial" w:hAnsi="Arial"/>
          <w:color w:val="1E1E1E"/>
          <w:sz w:val="21"/>
          <w:szCs w:val="21"/>
        </w:rPr>
        <w:t xml:space="preserve">Use this checklist to track progress across the 90-day plan. It is designed to be reviewed at each leadership team meeting.</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6480"/>
        <w:gridCol w:w="2400"/>
      </w:tblGrid>
      <w:tr>
        <w:tc>
          <w:tcPr>
            <w:tcW w:type="dxa" w:w="480"/>
            <w:tcBorders>
              <w:top w:val="single" w:color="D6DDE3" w:sz="1"/>
              <w:left w:val="single" w:color="D6DDE3" w:sz="1"/>
              <w:bottom w:val="single" w:color="D6DDE3" w:sz="1"/>
              <w:right w:val="single" w:color="D6DDE3" w:sz="1"/>
            </w:tcBorders>
            <w:shd w:fill="1B3A5C" w:val="clear"/>
            <w:tcMar>
              <w:top w:type="dxa" w:w="100"/>
              <w:left w:type="dxa" w:w="140"/>
              <w:bottom w:type="dxa" w:w="100"/>
              <w:right w:type="dxa" w:w="140"/>
            </w:tcMar>
          </w:tcPr>
          <w:p>
            <w:pPr>
              <w:jc w:val="center"/>
            </w:pPr>
            <w:r>
              <w:rPr>
                <w:rFonts w:ascii="Arial" w:cs="Arial" w:eastAsia="Arial" w:hAnsi="Arial"/>
                <w:color w:val="FFFFFF"/>
                <w:sz w:val="20"/>
                <w:szCs w:val="20"/>
              </w:rPr>
              <w:t xml:space="preserve">☐</w:t>
            </w:r>
          </w:p>
        </w:tc>
        <w:tc>
          <w:tcPr>
            <w:tcW w:type="dxa" w:w="6480"/>
            <w:tcBorders>
              <w:top w:val="single" w:color="D6DDE3" w:sz="1"/>
              <w:left w:val="single" w:color="D6DDE3" w:sz="1"/>
              <w:bottom w:val="single" w:color="D6DDE3" w:sz="1"/>
              <w:right w:val="single" w:color="D6DDE3"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Decision</w:t>
            </w:r>
          </w:p>
        </w:tc>
        <w:tc>
          <w:tcPr>
            <w:tcW w:type="dxa" w:w="2400"/>
            <w:tcBorders>
              <w:top w:val="single" w:color="D6DDE3" w:sz="1"/>
              <w:left w:val="single" w:color="D6DDE3" w:sz="1"/>
              <w:bottom w:val="single" w:color="D6DDE3" w:sz="1"/>
              <w:right w:val="single" w:color="D6DDE3"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Target Phase</w:t>
            </w:r>
          </w:p>
        </w:tc>
      </w:tr>
      <w:tr>
        <w:tc>
          <w:tcPr>
            <w:tcW w:type="dxa" w:w="48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pPr>
              <w:jc w:val="center"/>
            </w:pPr>
            <w:r>
              <w:rPr>
                <w:rFonts w:ascii="Arial" w:cs="Arial" w:eastAsia="Arial" w:hAnsi="Arial"/>
                <w:color w:val="1E1E1E"/>
                <w:sz w:val="20"/>
                <w:szCs w:val="20"/>
              </w:rPr>
              <w:t xml:space="preserve">☐</w:t>
            </w:r>
          </w:p>
        </w:tc>
        <w:tc>
          <w:tcPr>
            <w:tcW w:type="dxa" w:w="648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r>
              <w:rPr>
                <w:rFonts w:ascii="Arial" w:cs="Arial" w:eastAsia="Arial" w:hAnsi="Arial"/>
                <w:color w:val="1E1E1E"/>
                <w:sz w:val="20"/>
                <w:szCs w:val="20"/>
              </w:rPr>
              <w:t xml:space="preserve">AI point person or working group designated</w:t>
            </w:r>
          </w:p>
        </w:tc>
        <w:tc>
          <w:tcPr>
            <w:tcW w:type="dxa" w:w="240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r>
              <w:rPr>
                <w:rFonts w:ascii="Arial" w:cs="Arial" w:eastAsia="Arial" w:hAnsi="Arial"/>
                <w:color w:val="1E1E1E"/>
                <w:sz w:val="20"/>
                <w:szCs w:val="20"/>
              </w:rPr>
              <w:t xml:space="preserve">Phase 1</w:t>
            </w:r>
          </w:p>
        </w:tc>
      </w:tr>
      <w:tr>
        <w:tc>
          <w:tcPr>
            <w:tcW w:type="dxa" w:w="480"/>
            <w:tcBorders>
              <w:top w:val="single" w:color="D6DDE3" w:sz="1"/>
              <w:left w:val="single" w:color="D6DDE3" w:sz="1"/>
              <w:bottom w:val="single" w:color="D6DDE3" w:sz="1"/>
              <w:right w:val="single" w:color="D6DDE3" w:sz="1"/>
            </w:tcBorders>
            <w:shd w:fill="F2F5F7" w:val="clear"/>
            <w:tcMar>
              <w:top w:type="dxa" w:w="100"/>
              <w:left w:type="dxa" w:w="140"/>
              <w:bottom w:type="dxa" w:w="100"/>
              <w:right w:type="dxa" w:w="140"/>
            </w:tcMar>
          </w:tcPr>
          <w:p>
            <w:pPr>
              <w:jc w:val="center"/>
            </w:pPr>
            <w:r>
              <w:rPr>
                <w:rFonts w:ascii="Arial" w:cs="Arial" w:eastAsia="Arial" w:hAnsi="Arial"/>
                <w:color w:val="1E1E1E"/>
                <w:sz w:val="20"/>
                <w:szCs w:val="20"/>
              </w:rPr>
              <w:t xml:space="preserve">☐</w:t>
            </w:r>
          </w:p>
        </w:tc>
        <w:tc>
          <w:tcPr>
            <w:tcW w:type="dxa" w:w="6480"/>
            <w:tcBorders>
              <w:top w:val="single" w:color="D6DDE3" w:sz="1"/>
              <w:left w:val="single" w:color="D6DDE3" w:sz="1"/>
              <w:bottom w:val="single" w:color="D6DDE3" w:sz="1"/>
              <w:right w:val="single" w:color="D6DDE3" w:sz="1"/>
            </w:tcBorders>
            <w:shd w:fill="F2F5F7" w:val="clear"/>
            <w:tcMar>
              <w:top w:type="dxa" w:w="100"/>
              <w:left w:type="dxa" w:w="140"/>
              <w:bottom w:type="dxa" w:w="100"/>
              <w:right w:type="dxa" w:w="140"/>
            </w:tcMar>
          </w:tcPr>
          <w:p>
            <w:r>
              <w:rPr>
                <w:rFonts w:ascii="Arial" w:cs="Arial" w:eastAsia="Arial" w:hAnsi="Arial"/>
                <w:color w:val="1E1E1E"/>
                <w:sz w:val="20"/>
                <w:szCs w:val="20"/>
              </w:rPr>
              <w:t xml:space="preserve">Rapid AI inventory completed</w:t>
            </w:r>
          </w:p>
        </w:tc>
        <w:tc>
          <w:tcPr>
            <w:tcW w:type="dxa" w:w="2400"/>
            <w:tcBorders>
              <w:top w:val="single" w:color="D6DDE3" w:sz="1"/>
              <w:left w:val="single" w:color="D6DDE3" w:sz="1"/>
              <w:bottom w:val="single" w:color="D6DDE3" w:sz="1"/>
              <w:right w:val="single" w:color="D6DDE3" w:sz="1"/>
            </w:tcBorders>
            <w:shd w:fill="F2F5F7" w:val="clear"/>
            <w:tcMar>
              <w:top w:type="dxa" w:w="100"/>
              <w:left w:type="dxa" w:w="140"/>
              <w:bottom w:type="dxa" w:w="100"/>
              <w:right w:type="dxa" w:w="140"/>
            </w:tcMar>
          </w:tcPr>
          <w:p>
            <w:r>
              <w:rPr>
                <w:rFonts w:ascii="Arial" w:cs="Arial" w:eastAsia="Arial" w:hAnsi="Arial"/>
                <w:color w:val="1E1E1E"/>
                <w:sz w:val="20"/>
                <w:szCs w:val="20"/>
              </w:rPr>
              <w:t xml:space="preserve">Phase 1</w:t>
            </w:r>
          </w:p>
        </w:tc>
      </w:tr>
      <w:tr>
        <w:tc>
          <w:tcPr>
            <w:tcW w:type="dxa" w:w="48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pPr>
              <w:jc w:val="center"/>
            </w:pPr>
            <w:r>
              <w:rPr>
                <w:rFonts w:ascii="Arial" w:cs="Arial" w:eastAsia="Arial" w:hAnsi="Arial"/>
                <w:color w:val="1E1E1E"/>
                <w:sz w:val="20"/>
                <w:szCs w:val="20"/>
              </w:rPr>
              <w:t xml:space="preserve">☐</w:t>
            </w:r>
          </w:p>
        </w:tc>
        <w:tc>
          <w:tcPr>
            <w:tcW w:type="dxa" w:w="648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r>
              <w:rPr>
                <w:rFonts w:ascii="Arial" w:cs="Arial" w:eastAsia="Arial" w:hAnsi="Arial"/>
                <w:color w:val="1E1E1E"/>
                <w:sz w:val="20"/>
                <w:szCs w:val="20"/>
              </w:rPr>
              <w:t xml:space="preserve">Interim use statement issued to staff</w:t>
            </w:r>
          </w:p>
        </w:tc>
        <w:tc>
          <w:tcPr>
            <w:tcW w:type="dxa" w:w="240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r>
              <w:rPr>
                <w:rFonts w:ascii="Arial" w:cs="Arial" w:eastAsia="Arial" w:hAnsi="Arial"/>
                <w:color w:val="1E1E1E"/>
                <w:sz w:val="20"/>
                <w:szCs w:val="20"/>
              </w:rPr>
              <w:t xml:space="preserve">Phase 1</w:t>
            </w:r>
          </w:p>
        </w:tc>
      </w:tr>
      <w:tr>
        <w:tc>
          <w:tcPr>
            <w:tcW w:type="dxa" w:w="480"/>
            <w:tcBorders>
              <w:top w:val="single" w:color="D6DDE3" w:sz="1"/>
              <w:left w:val="single" w:color="D6DDE3" w:sz="1"/>
              <w:bottom w:val="single" w:color="D6DDE3" w:sz="1"/>
              <w:right w:val="single" w:color="D6DDE3" w:sz="1"/>
            </w:tcBorders>
            <w:shd w:fill="F2F5F7" w:val="clear"/>
            <w:tcMar>
              <w:top w:type="dxa" w:w="100"/>
              <w:left w:type="dxa" w:w="140"/>
              <w:bottom w:type="dxa" w:w="100"/>
              <w:right w:type="dxa" w:w="140"/>
            </w:tcMar>
          </w:tcPr>
          <w:p>
            <w:pPr>
              <w:jc w:val="center"/>
            </w:pPr>
            <w:r>
              <w:rPr>
                <w:rFonts w:ascii="Arial" w:cs="Arial" w:eastAsia="Arial" w:hAnsi="Arial"/>
                <w:color w:val="1E1E1E"/>
                <w:sz w:val="20"/>
                <w:szCs w:val="20"/>
              </w:rPr>
              <w:t xml:space="preserve">☐</w:t>
            </w:r>
          </w:p>
        </w:tc>
        <w:tc>
          <w:tcPr>
            <w:tcW w:type="dxa" w:w="6480"/>
            <w:tcBorders>
              <w:top w:val="single" w:color="D6DDE3" w:sz="1"/>
              <w:left w:val="single" w:color="D6DDE3" w:sz="1"/>
              <w:bottom w:val="single" w:color="D6DDE3" w:sz="1"/>
              <w:right w:val="single" w:color="D6DDE3" w:sz="1"/>
            </w:tcBorders>
            <w:shd w:fill="F2F5F7" w:val="clear"/>
            <w:tcMar>
              <w:top w:type="dxa" w:w="100"/>
              <w:left w:type="dxa" w:w="140"/>
              <w:bottom w:type="dxa" w:w="100"/>
              <w:right w:type="dxa" w:w="140"/>
            </w:tcMar>
          </w:tcPr>
          <w:p>
            <w:r>
              <w:rPr>
                <w:rFonts w:ascii="Arial" w:cs="Arial" w:eastAsia="Arial" w:hAnsi="Arial"/>
                <w:color w:val="1E1E1E"/>
                <w:sz w:val="20"/>
                <w:szCs w:val="20"/>
              </w:rPr>
              <w:t xml:space="preserve">Vendor data privacy agreements reviewed for AI</w:t>
            </w:r>
          </w:p>
        </w:tc>
        <w:tc>
          <w:tcPr>
            <w:tcW w:type="dxa" w:w="2400"/>
            <w:tcBorders>
              <w:top w:val="single" w:color="D6DDE3" w:sz="1"/>
              <w:left w:val="single" w:color="D6DDE3" w:sz="1"/>
              <w:bottom w:val="single" w:color="D6DDE3" w:sz="1"/>
              <w:right w:val="single" w:color="D6DDE3" w:sz="1"/>
            </w:tcBorders>
            <w:shd w:fill="F2F5F7" w:val="clear"/>
            <w:tcMar>
              <w:top w:type="dxa" w:w="100"/>
              <w:left w:type="dxa" w:w="140"/>
              <w:bottom w:type="dxa" w:w="100"/>
              <w:right w:type="dxa" w:w="140"/>
            </w:tcMar>
          </w:tcPr>
          <w:p>
            <w:r>
              <w:rPr>
                <w:rFonts w:ascii="Arial" w:cs="Arial" w:eastAsia="Arial" w:hAnsi="Arial"/>
                <w:color w:val="1E1E1E"/>
                <w:sz w:val="20"/>
                <w:szCs w:val="20"/>
              </w:rPr>
              <w:t xml:space="preserve">Phase 1</w:t>
            </w:r>
          </w:p>
        </w:tc>
      </w:tr>
      <w:tr>
        <w:tc>
          <w:tcPr>
            <w:tcW w:type="dxa" w:w="48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pPr>
              <w:jc w:val="center"/>
            </w:pPr>
            <w:r>
              <w:rPr>
                <w:rFonts w:ascii="Arial" w:cs="Arial" w:eastAsia="Arial" w:hAnsi="Arial"/>
                <w:color w:val="1E1E1E"/>
                <w:sz w:val="20"/>
                <w:szCs w:val="20"/>
              </w:rPr>
              <w:t xml:space="preserve">☐</w:t>
            </w:r>
          </w:p>
        </w:tc>
        <w:tc>
          <w:tcPr>
            <w:tcW w:type="dxa" w:w="648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r>
              <w:rPr>
                <w:rFonts w:ascii="Arial" w:cs="Arial" w:eastAsia="Arial" w:hAnsi="Arial"/>
                <w:color w:val="1E1E1E"/>
                <w:sz w:val="20"/>
                <w:szCs w:val="20"/>
              </w:rPr>
              <w:t xml:space="preserve">Responsible use framework drafted</w:t>
            </w:r>
          </w:p>
        </w:tc>
        <w:tc>
          <w:tcPr>
            <w:tcW w:type="dxa" w:w="240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r>
              <w:rPr>
                <w:rFonts w:ascii="Arial" w:cs="Arial" w:eastAsia="Arial" w:hAnsi="Arial"/>
                <w:color w:val="1E1E1E"/>
                <w:sz w:val="20"/>
                <w:szCs w:val="20"/>
              </w:rPr>
              <w:t xml:space="preserve">Phase 2</w:t>
            </w:r>
          </w:p>
        </w:tc>
      </w:tr>
      <w:tr>
        <w:tc>
          <w:tcPr>
            <w:tcW w:type="dxa" w:w="480"/>
            <w:tcBorders>
              <w:top w:val="single" w:color="D6DDE3" w:sz="1"/>
              <w:left w:val="single" w:color="D6DDE3" w:sz="1"/>
              <w:bottom w:val="single" w:color="D6DDE3" w:sz="1"/>
              <w:right w:val="single" w:color="D6DDE3" w:sz="1"/>
            </w:tcBorders>
            <w:shd w:fill="F2F5F7" w:val="clear"/>
            <w:tcMar>
              <w:top w:type="dxa" w:w="100"/>
              <w:left w:type="dxa" w:w="140"/>
              <w:bottom w:type="dxa" w:w="100"/>
              <w:right w:type="dxa" w:w="140"/>
            </w:tcMar>
          </w:tcPr>
          <w:p>
            <w:pPr>
              <w:jc w:val="center"/>
            </w:pPr>
            <w:r>
              <w:rPr>
                <w:rFonts w:ascii="Arial" w:cs="Arial" w:eastAsia="Arial" w:hAnsi="Arial"/>
                <w:color w:val="1E1E1E"/>
                <w:sz w:val="20"/>
                <w:szCs w:val="20"/>
              </w:rPr>
              <w:t xml:space="preserve">☐</w:t>
            </w:r>
          </w:p>
        </w:tc>
        <w:tc>
          <w:tcPr>
            <w:tcW w:type="dxa" w:w="6480"/>
            <w:tcBorders>
              <w:top w:val="single" w:color="D6DDE3" w:sz="1"/>
              <w:left w:val="single" w:color="D6DDE3" w:sz="1"/>
              <w:bottom w:val="single" w:color="D6DDE3" w:sz="1"/>
              <w:right w:val="single" w:color="D6DDE3" w:sz="1"/>
            </w:tcBorders>
            <w:shd w:fill="F2F5F7" w:val="clear"/>
            <w:tcMar>
              <w:top w:type="dxa" w:w="100"/>
              <w:left w:type="dxa" w:w="140"/>
              <w:bottom w:type="dxa" w:w="100"/>
              <w:right w:type="dxa" w:w="140"/>
            </w:tcMar>
          </w:tcPr>
          <w:p>
            <w:r>
              <w:rPr>
                <w:rFonts w:ascii="Arial" w:cs="Arial" w:eastAsia="Arial" w:hAnsi="Arial"/>
                <w:color w:val="1E1E1E"/>
                <w:sz w:val="20"/>
                <w:szCs w:val="20"/>
              </w:rPr>
              <w:t xml:space="preserve">Introductory professional learning delivered</w:t>
            </w:r>
          </w:p>
        </w:tc>
        <w:tc>
          <w:tcPr>
            <w:tcW w:type="dxa" w:w="2400"/>
            <w:tcBorders>
              <w:top w:val="single" w:color="D6DDE3" w:sz="1"/>
              <w:left w:val="single" w:color="D6DDE3" w:sz="1"/>
              <w:bottom w:val="single" w:color="D6DDE3" w:sz="1"/>
              <w:right w:val="single" w:color="D6DDE3" w:sz="1"/>
            </w:tcBorders>
            <w:shd w:fill="F2F5F7" w:val="clear"/>
            <w:tcMar>
              <w:top w:type="dxa" w:w="100"/>
              <w:left w:type="dxa" w:w="140"/>
              <w:bottom w:type="dxa" w:w="100"/>
              <w:right w:type="dxa" w:w="140"/>
            </w:tcMar>
          </w:tcPr>
          <w:p>
            <w:r>
              <w:rPr>
                <w:rFonts w:ascii="Arial" w:cs="Arial" w:eastAsia="Arial" w:hAnsi="Arial"/>
                <w:color w:val="1E1E1E"/>
                <w:sz w:val="20"/>
                <w:szCs w:val="20"/>
              </w:rPr>
              <w:t xml:space="preserve">Phase 2</w:t>
            </w:r>
          </w:p>
        </w:tc>
      </w:tr>
      <w:tr>
        <w:tc>
          <w:tcPr>
            <w:tcW w:type="dxa" w:w="48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pPr>
              <w:jc w:val="center"/>
            </w:pPr>
            <w:r>
              <w:rPr>
                <w:rFonts w:ascii="Arial" w:cs="Arial" w:eastAsia="Arial" w:hAnsi="Arial"/>
                <w:color w:val="1E1E1E"/>
                <w:sz w:val="20"/>
                <w:szCs w:val="20"/>
              </w:rPr>
              <w:t xml:space="preserve">☐</w:t>
            </w:r>
          </w:p>
        </w:tc>
        <w:tc>
          <w:tcPr>
            <w:tcW w:type="dxa" w:w="648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r>
              <w:rPr>
                <w:rFonts w:ascii="Arial" w:cs="Arial" w:eastAsia="Arial" w:hAnsi="Arial"/>
                <w:color w:val="1E1E1E"/>
                <w:sz w:val="20"/>
                <w:szCs w:val="20"/>
              </w:rPr>
              <w:t xml:space="preserve">2–3 pilot use cases selected and launched</w:t>
            </w:r>
          </w:p>
        </w:tc>
        <w:tc>
          <w:tcPr>
            <w:tcW w:type="dxa" w:w="240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r>
              <w:rPr>
                <w:rFonts w:ascii="Arial" w:cs="Arial" w:eastAsia="Arial" w:hAnsi="Arial"/>
                <w:color w:val="1E1E1E"/>
                <w:sz w:val="20"/>
                <w:szCs w:val="20"/>
              </w:rPr>
              <w:t xml:space="preserve">Phase 2</w:t>
            </w:r>
          </w:p>
        </w:tc>
      </w:tr>
      <w:tr>
        <w:tc>
          <w:tcPr>
            <w:tcW w:type="dxa" w:w="480"/>
            <w:tcBorders>
              <w:top w:val="single" w:color="D6DDE3" w:sz="1"/>
              <w:left w:val="single" w:color="D6DDE3" w:sz="1"/>
              <w:bottom w:val="single" w:color="D6DDE3" w:sz="1"/>
              <w:right w:val="single" w:color="D6DDE3" w:sz="1"/>
            </w:tcBorders>
            <w:shd w:fill="F2F5F7" w:val="clear"/>
            <w:tcMar>
              <w:top w:type="dxa" w:w="100"/>
              <w:left w:type="dxa" w:w="140"/>
              <w:bottom w:type="dxa" w:w="100"/>
              <w:right w:type="dxa" w:w="140"/>
            </w:tcMar>
          </w:tcPr>
          <w:p>
            <w:pPr>
              <w:jc w:val="center"/>
            </w:pPr>
            <w:r>
              <w:rPr>
                <w:rFonts w:ascii="Arial" w:cs="Arial" w:eastAsia="Arial" w:hAnsi="Arial"/>
                <w:color w:val="1E1E1E"/>
                <w:sz w:val="20"/>
                <w:szCs w:val="20"/>
              </w:rPr>
              <w:t xml:space="preserve">☐</w:t>
            </w:r>
          </w:p>
        </w:tc>
        <w:tc>
          <w:tcPr>
            <w:tcW w:type="dxa" w:w="6480"/>
            <w:tcBorders>
              <w:top w:val="single" w:color="D6DDE3" w:sz="1"/>
              <w:left w:val="single" w:color="D6DDE3" w:sz="1"/>
              <w:bottom w:val="single" w:color="D6DDE3" w:sz="1"/>
              <w:right w:val="single" w:color="D6DDE3" w:sz="1"/>
            </w:tcBorders>
            <w:shd w:fill="F2F5F7" w:val="clear"/>
            <w:tcMar>
              <w:top w:type="dxa" w:w="100"/>
              <w:left w:type="dxa" w:w="140"/>
              <w:bottom w:type="dxa" w:w="100"/>
              <w:right w:type="dxa" w:w="140"/>
            </w:tcMar>
          </w:tcPr>
          <w:p>
            <w:r>
              <w:rPr>
                <w:rFonts w:ascii="Arial" w:cs="Arial" w:eastAsia="Arial" w:hAnsi="Arial"/>
                <w:color w:val="1E1E1E"/>
                <w:sz w:val="20"/>
                <w:szCs w:val="20"/>
              </w:rPr>
              <w:t xml:space="preserve">Board update delivered</w:t>
            </w:r>
          </w:p>
        </w:tc>
        <w:tc>
          <w:tcPr>
            <w:tcW w:type="dxa" w:w="2400"/>
            <w:tcBorders>
              <w:top w:val="single" w:color="D6DDE3" w:sz="1"/>
              <w:left w:val="single" w:color="D6DDE3" w:sz="1"/>
              <w:bottom w:val="single" w:color="D6DDE3" w:sz="1"/>
              <w:right w:val="single" w:color="D6DDE3" w:sz="1"/>
            </w:tcBorders>
            <w:shd w:fill="F2F5F7" w:val="clear"/>
            <w:tcMar>
              <w:top w:type="dxa" w:w="100"/>
              <w:left w:type="dxa" w:w="140"/>
              <w:bottom w:type="dxa" w:w="100"/>
              <w:right w:type="dxa" w:w="140"/>
            </w:tcMar>
          </w:tcPr>
          <w:p>
            <w:r>
              <w:rPr>
                <w:rFonts w:ascii="Arial" w:cs="Arial" w:eastAsia="Arial" w:hAnsi="Arial"/>
                <w:color w:val="1E1E1E"/>
                <w:sz w:val="20"/>
                <w:szCs w:val="20"/>
              </w:rPr>
              <w:t xml:space="preserve">Phase 2</w:t>
            </w:r>
          </w:p>
        </w:tc>
      </w:tr>
      <w:tr>
        <w:tc>
          <w:tcPr>
            <w:tcW w:type="dxa" w:w="48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pPr>
              <w:jc w:val="center"/>
            </w:pPr>
            <w:r>
              <w:rPr>
                <w:rFonts w:ascii="Arial" w:cs="Arial" w:eastAsia="Arial" w:hAnsi="Arial"/>
                <w:color w:val="1E1E1E"/>
                <w:sz w:val="20"/>
                <w:szCs w:val="20"/>
              </w:rPr>
              <w:t xml:space="preserve">☐</w:t>
            </w:r>
          </w:p>
        </w:tc>
        <w:tc>
          <w:tcPr>
            <w:tcW w:type="dxa" w:w="648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r>
              <w:rPr>
                <w:rFonts w:ascii="Arial" w:cs="Arial" w:eastAsia="Arial" w:hAnsi="Arial"/>
                <w:color w:val="1E1E1E"/>
                <w:sz w:val="20"/>
                <w:szCs w:val="20"/>
              </w:rPr>
              <w:t xml:space="preserve">Pilot outcomes evaluated and documented</w:t>
            </w:r>
          </w:p>
        </w:tc>
        <w:tc>
          <w:tcPr>
            <w:tcW w:type="dxa" w:w="240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r>
              <w:rPr>
                <w:rFonts w:ascii="Arial" w:cs="Arial" w:eastAsia="Arial" w:hAnsi="Arial"/>
                <w:color w:val="1E1E1E"/>
                <w:sz w:val="20"/>
                <w:szCs w:val="20"/>
              </w:rPr>
              <w:t xml:space="preserve">Phase 3</w:t>
            </w:r>
          </w:p>
        </w:tc>
      </w:tr>
      <w:tr>
        <w:tc>
          <w:tcPr>
            <w:tcW w:type="dxa" w:w="480"/>
            <w:tcBorders>
              <w:top w:val="single" w:color="D6DDE3" w:sz="1"/>
              <w:left w:val="single" w:color="D6DDE3" w:sz="1"/>
              <w:bottom w:val="single" w:color="D6DDE3" w:sz="1"/>
              <w:right w:val="single" w:color="D6DDE3" w:sz="1"/>
            </w:tcBorders>
            <w:shd w:fill="F2F5F7" w:val="clear"/>
            <w:tcMar>
              <w:top w:type="dxa" w:w="100"/>
              <w:left w:type="dxa" w:w="140"/>
              <w:bottom w:type="dxa" w:w="100"/>
              <w:right w:type="dxa" w:w="140"/>
            </w:tcMar>
          </w:tcPr>
          <w:p>
            <w:pPr>
              <w:jc w:val="center"/>
            </w:pPr>
            <w:r>
              <w:rPr>
                <w:rFonts w:ascii="Arial" w:cs="Arial" w:eastAsia="Arial" w:hAnsi="Arial"/>
                <w:color w:val="1E1E1E"/>
                <w:sz w:val="20"/>
                <w:szCs w:val="20"/>
              </w:rPr>
              <w:t xml:space="preserve">☐</w:t>
            </w:r>
          </w:p>
        </w:tc>
        <w:tc>
          <w:tcPr>
            <w:tcW w:type="dxa" w:w="6480"/>
            <w:tcBorders>
              <w:top w:val="single" w:color="D6DDE3" w:sz="1"/>
              <w:left w:val="single" w:color="D6DDE3" w:sz="1"/>
              <w:bottom w:val="single" w:color="D6DDE3" w:sz="1"/>
              <w:right w:val="single" w:color="D6DDE3" w:sz="1"/>
            </w:tcBorders>
            <w:shd w:fill="F2F5F7" w:val="clear"/>
            <w:tcMar>
              <w:top w:type="dxa" w:w="100"/>
              <w:left w:type="dxa" w:w="140"/>
              <w:bottom w:type="dxa" w:w="100"/>
              <w:right w:type="dxa" w:w="140"/>
            </w:tcMar>
          </w:tcPr>
          <w:p>
            <w:r>
              <w:rPr>
                <w:rFonts w:ascii="Arial" w:cs="Arial" w:eastAsia="Arial" w:hAnsi="Arial"/>
                <w:color w:val="1E1E1E"/>
                <w:sz w:val="20"/>
                <w:szCs w:val="20"/>
              </w:rPr>
              <w:t xml:space="preserve">Family communication issued</w:t>
            </w:r>
          </w:p>
        </w:tc>
        <w:tc>
          <w:tcPr>
            <w:tcW w:type="dxa" w:w="2400"/>
            <w:tcBorders>
              <w:top w:val="single" w:color="D6DDE3" w:sz="1"/>
              <w:left w:val="single" w:color="D6DDE3" w:sz="1"/>
              <w:bottom w:val="single" w:color="D6DDE3" w:sz="1"/>
              <w:right w:val="single" w:color="D6DDE3" w:sz="1"/>
            </w:tcBorders>
            <w:shd w:fill="F2F5F7" w:val="clear"/>
            <w:tcMar>
              <w:top w:type="dxa" w:w="100"/>
              <w:left w:type="dxa" w:w="140"/>
              <w:bottom w:type="dxa" w:w="100"/>
              <w:right w:type="dxa" w:w="140"/>
            </w:tcMar>
          </w:tcPr>
          <w:p>
            <w:r>
              <w:rPr>
                <w:rFonts w:ascii="Arial" w:cs="Arial" w:eastAsia="Arial" w:hAnsi="Arial"/>
                <w:color w:val="1E1E1E"/>
                <w:sz w:val="20"/>
                <w:szCs w:val="20"/>
              </w:rPr>
              <w:t xml:space="preserve">Phase 3</w:t>
            </w:r>
          </w:p>
        </w:tc>
      </w:tr>
      <w:tr>
        <w:tc>
          <w:tcPr>
            <w:tcW w:type="dxa" w:w="48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pPr>
              <w:jc w:val="center"/>
            </w:pPr>
            <w:r>
              <w:rPr>
                <w:rFonts w:ascii="Arial" w:cs="Arial" w:eastAsia="Arial" w:hAnsi="Arial"/>
                <w:color w:val="1E1E1E"/>
                <w:sz w:val="20"/>
                <w:szCs w:val="20"/>
              </w:rPr>
              <w:t xml:space="preserve">☐</w:t>
            </w:r>
          </w:p>
        </w:tc>
        <w:tc>
          <w:tcPr>
            <w:tcW w:type="dxa" w:w="648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r>
              <w:rPr>
                <w:rFonts w:ascii="Arial" w:cs="Arial" w:eastAsia="Arial" w:hAnsi="Arial"/>
                <w:color w:val="1E1E1E"/>
                <w:sz w:val="20"/>
                <w:szCs w:val="20"/>
              </w:rPr>
              <w:t xml:space="preserve">6-month roadmap drafted</w:t>
            </w:r>
          </w:p>
        </w:tc>
        <w:tc>
          <w:tcPr>
            <w:tcW w:type="dxa" w:w="2400"/>
            <w:tcBorders>
              <w:top w:val="single" w:color="D6DDE3" w:sz="1"/>
              <w:left w:val="single" w:color="D6DDE3" w:sz="1"/>
              <w:bottom w:val="single" w:color="D6DDE3" w:sz="1"/>
              <w:right w:val="single" w:color="D6DDE3" w:sz="1"/>
            </w:tcBorders>
            <w:shd w:fill="FFFFFF" w:val="clear"/>
            <w:tcMar>
              <w:top w:type="dxa" w:w="100"/>
              <w:left w:type="dxa" w:w="140"/>
              <w:bottom w:type="dxa" w:w="100"/>
              <w:right w:type="dxa" w:w="140"/>
            </w:tcMar>
          </w:tcPr>
          <w:p>
            <w:r>
              <w:rPr>
                <w:rFonts w:ascii="Arial" w:cs="Arial" w:eastAsia="Arial" w:hAnsi="Arial"/>
                <w:color w:val="1E1E1E"/>
                <w:sz w:val="20"/>
                <w:szCs w:val="20"/>
              </w:rPr>
              <w:t xml:space="preserve">Phase 3</w:t>
            </w:r>
          </w:p>
        </w:tc>
      </w:tr>
    </w:tbl>
    <w:p>
      <w:pPr>
        <w:spacing w:after="120"/>
      </w:pPr>
    </w:p>
    <w:p>
      <w:pPr>
        <w:pStyle w:val="Heading1"/>
        <w:spacing w:before="360" w:after="200"/>
      </w:pPr>
      <w:r>
        <w:rPr>
          <w:rFonts w:ascii="Georgia" w:cs="Georgia" w:eastAsia="Georgia" w:hAnsi="Georgia"/>
          <w:b/>
          <w:bCs/>
          <w:color w:val="1B3A5C"/>
          <w:sz w:val="32"/>
          <w:szCs w:val="32"/>
        </w:rPr>
        <w:t xml:space="preserve">What a “Good First Step” Actually Looks Like</w:t>
      </w:r>
    </w:p>
    <w:p>
      <w:pPr>
        <w:spacing w:after="180" w:line="300"/>
      </w:pPr>
      <w:r>
        <w:rPr>
          <w:rFonts w:ascii="Arial" w:cs="Arial" w:eastAsia="Arial" w:hAnsi="Arial"/>
          <w:color w:val="1E1E1E"/>
          <w:sz w:val="21"/>
          <w:szCs w:val="21"/>
        </w:rPr>
        <w:t xml:space="preserve">A good first step is not a grand initiative. It is a set of small, visible actions that create institutional awareness and momentum:</w:t>
      </w:r>
    </w:p>
    <w:p>
      <w:pPr>
        <w:pStyle w:val="ListParagraph"/>
        <w:numPr>
          <w:ilvl w:val="0"/>
          <w:numId w:val="2"/>
        </w:numPr>
        <w:spacing w:after="100" w:line="280"/>
      </w:pPr>
      <w:r>
        <w:rPr>
          <w:rFonts w:ascii="Arial" w:cs="Arial" w:eastAsia="Arial" w:hAnsi="Arial"/>
          <w:color w:val="1E1E1E"/>
          <w:sz w:val="21"/>
          <w:szCs w:val="21"/>
        </w:rPr>
        <w:t xml:space="preserve">A superintendent who names an AI lead at the next cabinet meeting and asks for an inventory within three weeks.</w:t>
      </w:r>
    </w:p>
    <w:p>
      <w:pPr>
        <w:pStyle w:val="ListParagraph"/>
        <w:numPr>
          <w:ilvl w:val="0"/>
          <w:numId w:val="2"/>
        </w:numPr>
        <w:spacing w:after="100" w:line="280"/>
      </w:pPr>
      <w:r>
        <w:rPr>
          <w:rFonts w:ascii="Arial" w:cs="Arial" w:eastAsia="Arial" w:hAnsi="Arial"/>
          <w:color w:val="1E1E1E"/>
          <w:sz w:val="21"/>
          <w:szCs w:val="21"/>
        </w:rPr>
        <w:t xml:space="preserve">A principal who shares a brief AI overview with staff and opens a channel for questions and observations.</w:t>
      </w:r>
    </w:p>
    <w:p>
      <w:pPr>
        <w:pStyle w:val="ListParagraph"/>
        <w:numPr>
          <w:ilvl w:val="0"/>
          <w:numId w:val="2"/>
        </w:numPr>
        <w:spacing w:after="100" w:line="280"/>
      </w:pPr>
      <w:r>
        <w:rPr>
          <w:rFonts w:ascii="Arial" w:cs="Arial" w:eastAsia="Arial" w:hAnsi="Arial"/>
          <w:color w:val="1E1E1E"/>
          <w:sz w:val="21"/>
          <w:szCs w:val="21"/>
        </w:rPr>
        <w:t xml:space="preserve">A technology director who reviews the top 10 vendor contracts for AI-related data practices and flags gaps.</w:t>
      </w:r>
    </w:p>
    <w:p>
      <w:pPr>
        <w:pStyle w:val="ListParagraph"/>
        <w:numPr>
          <w:ilvl w:val="0"/>
          <w:numId w:val="2"/>
        </w:numPr>
        <w:spacing w:after="100" w:line="280"/>
      </w:pPr>
      <w:r>
        <w:rPr>
          <w:rFonts w:ascii="Arial" w:cs="Arial" w:eastAsia="Arial" w:hAnsi="Arial"/>
          <w:color w:val="1E1E1E"/>
          <w:sz w:val="21"/>
          <w:szCs w:val="21"/>
        </w:rPr>
        <w:t xml:space="preserve">A district communications team that drafts a one-paragraph statement for families explaining what the district is doing about AI.</w:t>
      </w:r>
    </w:p>
    <w:p>
      <w:pPr>
        <w:spacing w:after="180" w:line="300"/>
      </w:pPr>
      <w:r>
        <w:rPr>
          <w:rFonts w:ascii="Arial" w:cs="Arial" w:eastAsia="Arial" w:hAnsi="Arial"/>
          <w:color w:val="1E1E1E"/>
          <w:sz w:val="21"/>
          <w:szCs w:val="21"/>
        </w:rPr>
        <w:t xml:space="preserve">None of these require a budget. None require board approval. All of them move the institution from a reactive posture to a proactive one.</w:t>
      </w:r>
    </w:p>
    <w:p>
      <w:pPr>
        <w:spacing w:after="180" w:line="300"/>
      </w:pPr>
      <w:r>
        <w:rPr>
          <w:rFonts w:ascii="Arial" w:cs="Arial" w:eastAsia="Arial" w:hAnsi="Arial"/>
          <w:color w:val="1E1E1E"/>
          <w:sz w:val="21"/>
          <w:szCs w:val="21"/>
        </w:rPr>
        <w:t xml:space="preserve">The critical insight is that AI readiness is not about knowing everything. It is about having a visible, responsible process for learning and deciding as an institution.</w:t>
      </w:r>
    </w:p>
    <w:p>
      <w:pPr>
        <w:spacing w:after="80"/>
      </w:pPr>
    </w:p>
    <w:p>
      <w:pPr>
        <w:pStyle w:val="Heading1"/>
        <w:spacing w:before="360" w:after="200"/>
      </w:pPr>
      <w:r>
        <w:rPr>
          <w:rFonts w:ascii="Georgia" w:cs="Georgia" w:eastAsia="Georgia" w:hAnsi="Georgia"/>
          <w:b/>
          <w:bCs/>
          <w:color w:val="1B3A5C"/>
          <w:sz w:val="32"/>
          <w:szCs w:val="32"/>
        </w:rPr>
        <w:t xml:space="preserve">Conclusion</w:t>
      </w:r>
    </w:p>
    <w:p>
      <w:pPr>
        <w:spacing w:after="180" w:line="300"/>
      </w:pPr>
      <w:r>
        <w:rPr>
          <w:rFonts w:ascii="Arial" w:cs="Arial" w:eastAsia="Arial" w:hAnsi="Arial"/>
          <w:color w:val="1E1E1E"/>
          <w:sz w:val="21"/>
          <w:szCs w:val="21"/>
        </w:rPr>
        <w:t xml:space="preserve">The pressure on school and district leaders around AI is real and growing. The federal government has signaled that AI integration in education is a funding priority. State education agencies have moved AI to the top of their agendas. Teachers and students are already using AI tools, with or without guidance. And the legal landscape—from FERPA compliance to deepfake response—is shifting under districts that have not yet taken stock.</w:t>
      </w:r>
    </w:p>
    <w:p>
      <w:pPr>
        <w:spacing w:after="180" w:line="300"/>
      </w:pPr>
      <w:r>
        <w:rPr>
          <w:rFonts w:ascii="Arial" w:cs="Arial" w:eastAsia="Arial" w:hAnsi="Arial"/>
          <w:color w:val="1E1E1E"/>
          <w:sz w:val="21"/>
          <w:szCs w:val="21"/>
        </w:rPr>
        <w:t xml:space="preserve">But the response does not need to match the scale of the pressure. What it needs to be is visible, responsible, and structured. The 90-day plan in this paper is designed to give leadership teams a manageable starting point: assign ownership, assess exposure, set basic guardrails, communicate clearly, and create space for institutional learning.</w:t>
      </w:r>
    </w:p>
    <w:p>
      <w:pPr>
        <w:spacing w:after="180" w:line="300"/>
      </w:pPr>
      <w:r>
        <w:rPr>
          <w:rFonts w:ascii="Arial" w:cs="Arial" w:eastAsia="Arial" w:hAnsi="Arial"/>
          <w:color w:val="1E1E1E"/>
          <w:sz w:val="21"/>
          <w:szCs w:val="21"/>
        </w:rPr>
        <w:t xml:space="preserve">If your team completes this sequence, you will not have solved AI for your district. But you will have built the operational foundation that makes future decisions—about tools, policies, budgets, and strategy—far more grounded and defensible.</w:t>
      </w:r>
    </w:p>
    <w:p>
      <w:pPr>
        <w:spacing w:after="180" w:line="300"/>
      </w:pPr>
      <w:r>
        <w:rPr>
          <w:rFonts w:ascii="Arial" w:cs="Arial" w:eastAsia="Arial" w:hAnsi="Arial"/>
          <w:color w:val="1E1E1E"/>
          <w:sz w:val="21"/>
          <w:szCs w:val="21"/>
        </w:rPr>
        <w:t xml:space="preserve">The districts that do this work now will be in a materially stronger position than those that wait. Not because they moved faster, but because they moved deliberately.</w:t>
      </w:r>
    </w:p>
    <w:p>
      <w:pPr>
        <w:spacing w:after="80"/>
      </w:pPr>
    </w:p>
    <w:p>
      <w:pPr>
        <w:pStyle w:val="Heading1"/>
        <w:spacing w:before="360" w:after="200"/>
      </w:pPr>
      <w:r>
        <w:rPr>
          <w:rFonts w:ascii="Georgia" w:cs="Georgia" w:eastAsia="Georgia" w:hAnsi="Georgia"/>
          <w:b/>
          <w:bCs/>
          <w:color w:val="1B3A5C"/>
          <w:sz w:val="32"/>
          <w:szCs w:val="32"/>
        </w:rPr>
        <w:t xml:space="preserve">Your Next Step: The Written Leadership Review</w:t>
      </w:r>
    </w:p>
    <w:p>
      <w:pPr>
        <w:spacing w:after="180" w:line="300"/>
      </w:pPr>
      <w:r>
        <w:rPr>
          <w:rFonts w:ascii="Arial" w:cs="Arial" w:eastAsia="Arial" w:hAnsi="Arial"/>
          <w:color w:val="1E1E1E"/>
          <w:sz w:val="21"/>
          <w:szCs w:val="21"/>
        </w:rPr>
        <w:t xml:space="preserve">AI Literacy Network offers a Written Leadership Review designed specifically for school and district leadership teams that have completed—or are beginning—their first 90 days of AI readiness work.</w:t>
      </w:r>
    </w:p>
    <w:p>
      <w:pPr>
        <w:spacing w:after="180" w:line="300"/>
      </w:pPr>
      <w:r>
        <w:rPr>
          <w:rFonts w:ascii="Arial" w:cs="Arial" w:eastAsia="Arial" w:hAnsi="Arial"/>
          <w:color w:val="1E1E1E"/>
          <w:sz w:val="21"/>
          <w:szCs w:val="21"/>
        </w:rPr>
        <w:t xml:space="preserve">The review is structured, asynchronous, and low-friction. You provide a brief intake describing your current situation, and an AILN advisor returns a written assessment covering:</w:t>
      </w:r>
    </w:p>
    <w:p>
      <w:pPr>
        <w:pStyle w:val="ListParagraph"/>
        <w:numPr>
          <w:ilvl w:val="0"/>
          <w:numId w:val="2"/>
        </w:numPr>
        <w:spacing w:after="100" w:line="280"/>
      </w:pPr>
      <w:r>
        <w:rPr>
          <w:rFonts w:ascii="Arial" w:cs="Arial" w:eastAsia="Arial" w:hAnsi="Arial"/>
          <w:color w:val="1E1E1E"/>
          <w:sz w:val="21"/>
          <w:szCs w:val="21"/>
        </w:rPr>
        <w:t xml:space="preserve">Where your current approach has strong footing</w:t>
      </w:r>
    </w:p>
    <w:p>
      <w:pPr>
        <w:pStyle w:val="ListParagraph"/>
        <w:numPr>
          <w:ilvl w:val="0"/>
          <w:numId w:val="2"/>
        </w:numPr>
        <w:spacing w:after="100" w:line="280"/>
      </w:pPr>
      <w:r>
        <w:rPr>
          <w:rFonts w:ascii="Arial" w:cs="Arial" w:eastAsia="Arial" w:hAnsi="Arial"/>
          <w:color w:val="1E1E1E"/>
          <w:sz w:val="21"/>
          <w:szCs w:val="21"/>
        </w:rPr>
        <w:t xml:space="preserve">Where gaps or risks may exist that are not yet visible</w:t>
      </w:r>
    </w:p>
    <w:p>
      <w:pPr>
        <w:pStyle w:val="ListParagraph"/>
        <w:numPr>
          <w:ilvl w:val="0"/>
          <w:numId w:val="2"/>
        </w:numPr>
        <w:spacing w:after="100" w:line="280"/>
      </w:pPr>
      <w:r>
        <w:rPr>
          <w:rFonts w:ascii="Arial" w:cs="Arial" w:eastAsia="Arial" w:hAnsi="Arial"/>
          <w:color w:val="1E1E1E"/>
          <w:sz w:val="21"/>
          <w:szCs w:val="21"/>
        </w:rPr>
        <w:t xml:space="preserve">What a sensible next 90 days might look like, tailored to your context</w:t>
      </w:r>
    </w:p>
    <w:p>
      <w:pPr>
        <w:spacing w:after="180" w:line="300"/>
      </w:pPr>
      <w:r>
        <w:rPr>
          <w:rFonts w:ascii="Arial" w:cs="Arial" w:eastAsia="Arial" w:hAnsi="Arial"/>
          <w:color w:val="1E1E1E"/>
          <w:sz w:val="21"/>
          <w:szCs w:val="21"/>
        </w:rPr>
        <w:t xml:space="preserve">The Written Leadership Review is designed to be useful on its own, regardless of whether you pursue any further engagement with AILN. It is not a sales call. It is a structured, practical tool for leaders who want an informed outside perspective.</w:t>
      </w:r>
    </w:p>
    <w:p>
      <w:pPr>
        <w:spacing w:after="180" w:line="300"/>
      </w:pPr>
      <w:r>
        <w:rPr>
          <w:rFonts w:ascii="Arial" w:cs="Arial" w:eastAsia="Arial" w:hAnsi="Arial"/>
          <w:color w:val="1E1E1E"/>
          <w:sz w:val="21"/>
          <w:szCs w:val="21"/>
        </w:rPr>
        <w:t xml:space="preserve">To request a Written Leadership Review, visit </w:t>
      </w:r>
      <w:r>
        <w:rPr>
          <w:rFonts w:ascii="Arial" w:cs="Arial" w:eastAsia="Arial" w:hAnsi="Arial"/>
          <w:b/>
          <w:bCs/>
          <w:color w:val="2A7F8E"/>
          <w:sz w:val="21"/>
          <w:szCs w:val="21"/>
        </w:rPr>
        <w:t xml:space="preserve">ailiteracynetwork.com</w:t>
      </w:r>
      <w:r>
        <w:rPr>
          <w:rFonts w:ascii="Arial" w:cs="Arial" w:eastAsia="Arial" w:hAnsi="Arial"/>
          <w:color w:val="1E1E1E"/>
          <w:sz w:val="21"/>
          <w:szCs w:val="21"/>
        </w:rPr>
        <w:t xml:space="preserve"> or reach out through the async intake form on the Leaders track page.</w:t>
      </w:r>
    </w:p>
    <w:p>
      <w:pPr>
        <w:spacing w:after="120"/>
      </w:pPr>
    </w:p>
    <w:p>
      <w:pPr>
        <w:pStyle w:val="Heading1"/>
        <w:spacing w:before="360" w:after="200"/>
      </w:pPr>
      <w:r>
        <w:rPr>
          <w:rFonts w:ascii="Georgia" w:cs="Georgia" w:eastAsia="Georgia" w:hAnsi="Georgia"/>
          <w:b/>
          <w:bCs/>
          <w:color w:val="1B3A5C"/>
          <w:sz w:val="32"/>
          <w:szCs w:val="32"/>
        </w:rPr>
        <w:t xml:space="preserve">Sources</w:t>
      </w:r>
    </w:p>
    <w:p>
      <w:pPr>
        <w:spacing w:after="100"/>
      </w:pPr>
      <w:r>
        <w:rPr>
          <w:rFonts w:ascii="Arial" w:cs="Arial" w:eastAsia="Arial" w:hAnsi="Arial"/>
          <w:color w:val="1E1E1E"/>
          <w:sz w:val="21"/>
          <w:szCs w:val="21"/>
        </w:rPr>
        <w:t xml:space="preserve">[1] U.S. Department of Education, “Dear Colleague Letter: AI and Federal Education Grants,” July 22, 2025. https://www.ed.gov/media/document/opepd-ai-dear-colleague-letter-7222025-110427.pdf</w:t>
      </w:r>
    </w:p>
    <w:p>
      <w:pPr>
        <w:spacing w:after="100"/>
      </w:pPr>
      <w:r>
        <w:rPr>
          <w:rFonts w:ascii="Arial" w:cs="Arial" w:eastAsia="Arial" w:hAnsi="Arial"/>
          <w:color w:val="1E1E1E"/>
          <w:sz w:val="21"/>
          <w:szCs w:val="21"/>
        </w:rPr>
        <w:t xml:space="preserve">[2] State Educational Technology Directors Association (SETDA), “2025 State EdTech Trends Report,” September 2025. https://www.setda.org/priorities/state-trends/</w:t>
      </w:r>
    </w:p>
    <w:p>
      <w:pPr>
        <w:spacing w:after="100"/>
      </w:pPr>
      <w:r>
        <w:rPr>
          <w:rFonts w:ascii="Arial" w:cs="Arial" w:eastAsia="Arial" w:hAnsi="Arial"/>
          <w:color w:val="1E1E1E"/>
          <w:sz w:val="21"/>
          <w:szCs w:val="21"/>
        </w:rPr>
        <w:t xml:space="preserve">[3] AI for Education, “State AI Guidance for Education,” updated 2026. https://www.aiforeducation.io/ai-resources/state-ai-guidance</w:t>
      </w:r>
    </w:p>
    <w:p>
      <w:pPr>
        <w:spacing w:after="100"/>
      </w:pPr>
      <w:r>
        <w:rPr>
          <w:rFonts w:ascii="Arial" w:cs="Arial" w:eastAsia="Arial" w:hAnsi="Arial"/>
          <w:color w:val="1E1E1E"/>
          <w:sz w:val="21"/>
          <w:szCs w:val="21"/>
        </w:rPr>
        <w:t xml:space="preserve">[4] Kaufman, J.H., Woo, A., et al., “Uneven Adoption of Artificial Intelligence Tools Among U.S. Teachers and Principals in the 2023–2024 School Year,” RAND Corporation, 2025. https://www.rand.org/pubs/research_reports/RRA134-25.html</w:t>
      </w:r>
    </w:p>
    <w:p>
      <w:pPr>
        <w:spacing w:after="100"/>
      </w:pPr>
      <w:r>
        <w:rPr>
          <w:rFonts w:ascii="Arial" w:cs="Arial" w:eastAsia="Arial" w:hAnsi="Arial"/>
          <w:color w:val="1E1E1E"/>
          <w:sz w:val="21"/>
          <w:szCs w:val="21"/>
        </w:rPr>
        <w:t xml:space="preserve">[5] RAND Corporation, “More Districts Are Training Teachers on Artificial Intelligence,” April 2025. https://www.rand.org/pubs/research_reports/RRA956-31.html</w:t>
      </w:r>
    </w:p>
    <w:p>
      <w:pPr>
        <w:spacing w:after="100"/>
      </w:pPr>
      <w:r>
        <w:rPr>
          <w:rFonts w:ascii="Arial" w:cs="Arial" w:eastAsia="Arial" w:hAnsi="Arial"/>
          <w:color w:val="1E1E1E"/>
          <w:sz w:val="21"/>
          <w:szCs w:val="21"/>
        </w:rPr>
        <w:t xml:space="preserve">[6] National Education Association, “Federal Regulations Related to Artificial Intelligence,” 2025. https://www.nea.org/sites/default/files/2025-06/5.1-ai-policy-overview-of-federal-regulations-final.pdf</w:t>
      </w:r>
    </w:p>
    <w:p>
      <w:pPr>
        <w:spacing w:after="100"/>
      </w:pPr>
      <w:r>
        <w:rPr>
          <w:rFonts w:ascii="Arial" w:cs="Arial" w:eastAsia="Arial" w:hAnsi="Arial"/>
          <w:color w:val="1E1E1E"/>
          <w:sz w:val="21"/>
          <w:szCs w:val="21"/>
        </w:rPr>
        <w:t xml:space="preserve">[7] SchoolAI, “The School Leader’s Guide to AI Compliance and Deepfake Response,” 2025. https://schoolai.com/blog/educators-need-to-know-ai-policy-deepfake-protection-laws</w:t>
      </w:r>
    </w:p>
    <w:p>
      <w:pPr>
        <w:spacing w:after="100"/>
      </w:pPr>
      <w:r>
        <w:rPr>
          <w:rFonts w:ascii="Arial" w:cs="Arial" w:eastAsia="Arial" w:hAnsi="Arial"/>
          <w:color w:val="1E1E1E"/>
          <w:sz w:val="21"/>
          <w:szCs w:val="21"/>
        </w:rPr>
        <w:t xml:space="preserve">[8] Secure Privacy, “Privacy Software for Schools: Student Data Compliance,” 2025. https://secureprivacy.ai/blog/privacy-software-for-schools</w:t>
      </w:r>
    </w:p>
    <w:p>
      <w:pPr>
        <w:spacing w:after="100"/>
      </w:pPr>
      <w:r>
        <w:rPr>
          <w:rFonts w:ascii="Arial" w:cs="Arial" w:eastAsia="Arial" w:hAnsi="Arial"/>
          <w:color w:val="1E1E1E"/>
          <w:sz w:val="21"/>
          <w:szCs w:val="21"/>
        </w:rPr>
        <w:t xml:space="preserve">[9] Center on Reinventing Public Education, “AI Early Adopter Districts: The Promises and Challenges of Using AI to Transform Education,” August 2025. https://crpe.org/ai-early-adopter-districts-the-promises-and-challenges-of-using-ai-to-transform-education/</w:t>
      </w:r>
    </w:p>
    <w:p>
      <w:pPr>
        <w:spacing w:after="100"/>
      </w:pPr>
      <w:r>
        <w:rPr>
          <w:rFonts w:ascii="Arial" w:cs="Arial" w:eastAsia="Arial" w:hAnsi="Arial"/>
          <w:color w:val="1E1E1E"/>
          <w:sz w:val="21"/>
          <w:szCs w:val="21"/>
        </w:rPr>
        <w:t xml:space="preserve">[10] Center on Reinventing Public Education, “Districts and AI: Early Adopters Focus More on Students in 2025–26,” November 2025. https://crpe.org/districts-and-ai-early-adopters-focus-more-on-students-in-2025-26/</w:t>
      </w:r>
    </w:p>
    <w:p>
      <w:pPr>
        <w:spacing w:after="100"/>
      </w:pPr>
      <w:r>
        <w:rPr>
          <w:rFonts w:ascii="Arial" w:cs="Arial" w:eastAsia="Arial" w:hAnsi="Arial"/>
          <w:color w:val="1E1E1E"/>
          <w:sz w:val="21"/>
          <w:szCs w:val="21"/>
        </w:rPr>
        <w:t xml:space="preserve">[11] UNESCO, “AI Competency Framework for Teachers,” 2024. https://unesdoc.unesco.org/ark:/48223/pf0000391104</w:t>
      </w:r>
    </w:p>
    <w:p>
      <w:pPr>
        <w:spacing w:after="100"/>
      </w:pPr>
      <w:r>
        <w:rPr>
          <w:rFonts w:ascii="Arial" w:cs="Arial" w:eastAsia="Arial" w:hAnsi="Arial"/>
          <w:color w:val="1E1E1E"/>
          <w:sz w:val="21"/>
          <w:szCs w:val="21"/>
        </w:rPr>
        <w:t xml:space="preserve">[12] California Department of Education, “Artificial Intelligence in California Public Schools,” 2025. https://www.cde.ca.gov/ci/pl/aiincalifornia.asp</w:t>
      </w:r>
    </w:p>
    <w:p>
      <w:pPr>
        <w:spacing w:after="100"/>
      </w:pPr>
      <w:r>
        <w:rPr>
          <w:rFonts w:ascii="Arial" w:cs="Arial" w:eastAsia="Arial" w:hAnsi="Arial"/>
          <w:color w:val="1E1E1E"/>
          <w:sz w:val="21"/>
          <w:szCs w:val="21"/>
        </w:rPr>
        <w:t xml:space="preserve">[13] Center on Reinventing Public Education, “AI Is Coming to U.S. Classrooms, but Who Will Benefit?” 2024. https://crpe.org/ai-is-coming-to-u-s-classrooms-but-who-will-benefit/</w:t>
      </w:r>
    </w:p>
    <w:p>
      <w:pPr>
        <w:spacing w:after="100"/>
      </w:pPr>
      <w:r>
        <w:rPr>
          <w:rFonts w:ascii="Arial" w:cs="Arial" w:eastAsia="Arial" w:hAnsi="Arial"/>
          <w:color w:val="1E1E1E"/>
          <w:sz w:val="21"/>
          <w:szCs w:val="21"/>
        </w:rPr>
        <w:t xml:space="preserve">[14] UNESCO, “Guidance for Generative AI in Education and Research,” 2023. https://www.unesco.org/en/articles/guidance-generative-ai-education-and-research</w:t>
      </w:r>
    </w:p>
    <w:p>
      <w:pPr>
        <w:spacing w:after="100"/>
      </w:pPr>
      <w:r>
        <w:rPr>
          <w:rFonts w:ascii="Arial" w:cs="Arial" w:eastAsia="Arial" w:hAnsi="Arial"/>
          <w:color w:val="1E1E1E"/>
          <w:sz w:val="21"/>
          <w:szCs w:val="21"/>
        </w:rPr>
        <w:t xml:space="preserve">[15] U.S. Department of Education, “Toolkit for Safe, Ethical, and Equitable AI Integration,” October 2024.</w:t>
      </w:r>
    </w:p>
    <w:p>
      <w:pPr>
        <w:spacing w:after="100"/>
      </w:pPr>
      <w:r>
        <w:rPr>
          <w:rFonts w:ascii="Arial" w:cs="Arial" w:eastAsia="Arial" w:hAnsi="Arial"/>
          <w:color w:val="1E1E1E"/>
          <w:sz w:val="21"/>
          <w:szCs w:val="21"/>
        </w:rPr>
        <w:t xml:space="preserve">[16] Bellwether, “Surveying School System Leaders: What They Are Saying About Artificial Intelligence (So Far),” 2025. https://bellwether.org/publications/surveying-artificial-intelligence-and-schools/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AI Literacy Network  |  ailiteracynetwork.com  |  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6DDE3" w:sz="2" w:space="4"/>
      </w:pBdr>
      <w:tabs>
        <w:tab w:val="right" w:pos="9026"/>
      </w:tabs>
      <w:spacing w:after="0"/>
    </w:pPr>
    <w:r>
      <w:rPr>
        <w:rFonts w:ascii="Arial" w:cs="Arial" w:eastAsia="Arial" w:hAnsi="Arial"/>
        <w:i/>
        <w:iCs/>
        <w:color w:val="999999"/>
        <w:sz w:val="16"/>
        <w:szCs w:val="16"/>
      </w:rPr>
      <w:t xml:space="preserve">AI Readiness for School Leaders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7"/>
    <w:lvlOverride w:ilvl="0">
      <w:startOverride w:val="1"/>
    </w:lvlOverride>
  </w:num>
  <w:num w:numId="7">
    <w:abstractNumId w:val="8"/>
    <w:lvlOverride w:ilvl="0">
      <w:startOverride w:val="1"/>
    </w:lvlOverride>
  </w:num>
  <w:num w:numId="8">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Georgia" w:cs="Georgia" w:eastAsia="Georgia" w:hAnsi="Georgia"/>
      <w:b/>
      <w:bCs/>
      <w:color w:val="1B3A5C"/>
      <w:sz w:val="32"/>
      <w:szCs w:val="32"/>
    </w:rPr>
  </w:style>
  <w:style w:type="paragraph" w:styleId="Heading2">
    <w:name w:val="Heading 2"/>
    <w:basedOn w:val="Normal"/>
    <w:next w:val="Normal"/>
    <w:qFormat/>
    <w:pPr>
      <w:spacing w:before="280" w:after="160"/>
      <w:outlineLvl w:val="1"/>
    </w:pPr>
    <w:rPr>
      <w:rFonts w:ascii="Georgia" w:cs="Georgia" w:eastAsia="Georgia" w:hAnsi="Georgia"/>
      <w:b/>
      <w:bCs/>
      <w:color w:val="2A7F8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2026-03-19T03:49:09.878Z</dcterms:created>
  <dcterms:modified xsi:type="dcterms:W3CDTF">2026-03-19T03:49:09.879Z</dcterms:modified>
</cp:coreProperties>
</file>

<file path=docProps/custom.xml><?xml version="1.0" encoding="utf-8"?>
<Properties xmlns="http://schemas.openxmlformats.org/officeDocument/2006/custom-properties" xmlns:vt="http://schemas.openxmlformats.org/officeDocument/2006/docPropsVTypes"/>
</file>